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rPr>
          <w:color w:val="0B2545"/>
        </w:rPr>
        <w:t>Reporte NPS — Banco Azteca Digital — Q1 2026</w:t>
      </w:r>
    </w:p>
    <w:p>
      <w:pPr>
        <w:pStyle w:val="Heading1"/>
      </w:pPr>
      <w:r>
        <w:rPr>
          <w:color w:val="0B2545"/>
        </w:rPr>
        <w:t>Net Promoter Score trimestral + análisis cualitativo</w:t>
      </w:r>
    </w:p>
    <w:p>
      <w:r>
        <w:rPr>
          <w:b/>
        </w:rPr>
        <w:t>Fecha:</w:t>
      </w:r>
      <w:r>
        <w:t xml:space="preserve"> 25 de abril de 2026</w:t>
      </w:r>
    </w:p>
    <w:p>
      <w:r>
        <w:rPr>
          <w:b/>
        </w:rPr>
        <w:t>Periodo:</w:t>
      </w:r>
      <w:r>
        <w:t xml:space="preserve"> enero – marzo 2026</w:t>
      </w:r>
    </w:p>
    <w:p>
      <w:r>
        <w:rPr>
          <w:b/>
        </w:rPr>
        <w:t>Preparado por:</w:t>
      </w:r>
      <w:r>
        <w:t xml:space="preserve"> Alejandra Ruiz, Directora de Data &amp; Analytics</w:t>
      </w:r>
    </w:p>
    <w:p>
      <w:r>
        <w:rPr>
          <w:b/>
        </w:rPr>
        <w:t>Metodología:</w:t>
      </w:r>
      <w:r>
        <w:t xml:space="preserve"> encuesta post-transacción, muestra n=14,200. Enviada a 48,000.</w:t>
      </w:r>
    </w:p>
    <w:p>
      <w:pPr>
        <w:pBdr>
          <w:bottom w:val="single" w:sz="6" w:space="1" w:color="B0B6C2"/>
        </w:pBdr>
      </w:pPr>
    </w:p>
    <w:p>
      <w:pPr>
        <w:pStyle w:val="Heading1"/>
      </w:pPr>
      <w:r>
        <w:rPr>
          <w:color w:val="0B2545"/>
        </w:rPr>
        <w:t>1. Resumen ejecutivo</w:t>
      </w:r>
    </w:p>
    <w:p>
      <w:pPr>
        <w:pStyle w:val="ListBullet"/>
      </w:pPr>
      <w:r>
        <w:t xml:space="preserve">NPS Q1 2026: </w:t>
      </w:r>
      <w:r>
        <w:rPr>
          <w:b/>
        </w:rPr>
        <w:t>42</w:t>
      </w:r>
    </w:p>
    <w:p>
      <w:pPr>
        <w:pStyle w:val="ListBullet"/>
      </w:pPr>
      <w:r>
        <w:t xml:space="preserve">NPS Q4 2025: </w:t>
      </w:r>
      <w:r>
        <w:rPr>
          <w:b/>
        </w:rPr>
        <w:t>49</w:t>
      </w:r>
    </w:p>
    <w:p>
      <w:pPr>
        <w:pStyle w:val="ListBullet"/>
      </w:pPr>
      <w:r>
        <w:t xml:space="preserve">Variación: </w:t>
      </w:r>
      <w:r>
        <w:rPr>
          <w:b/>
        </w:rPr>
        <w:t>-7 puntos</w:t>
      </w:r>
      <w:r>
        <w:t xml:space="preserve"> (deterioro significativo)</w:t>
      </w:r>
    </w:p>
    <w:p>
      <w:pPr>
        <w:pStyle w:val="ListBullet"/>
      </w:pPr>
      <w:r>
        <w:t>Tasa de respuesta: 29.6% (dentro de rango normal)</w:t>
      </w:r>
    </w:p>
    <w:p>
      <w:pPr>
        <w:pStyle w:val="ListBullet"/>
      </w:pPr>
      <w:r>
        <w:t>Alerta: primera caída de dos dígitos desde Q3 2023.</w:t>
      </w:r>
    </w:p>
    <w:p>
      <w:pPr>
        <w:pStyle w:val="Heading1"/>
      </w:pPr>
      <w:r>
        <w:rPr>
          <w:color w:val="0B2545"/>
        </w:rPr>
        <w:t>2. NPS por segmento de cliente</w:t>
      </w:r>
    </w:p>
    <w:tbl>
      <w:tblPr>
        <w:tblStyle w:val="LightGrid-Accent1"/>
        <w:tblW w:type="auto" w:w="0"/>
        <w:tblLook w:firstColumn="1" w:firstRow="1" w:lastColumn="0" w:lastRow="0" w:noHBand="0" w:noVBand="1" w:val="04A0"/>
      </w:tblPr>
      <w:tblGrid>
        <w:gridCol w:w="2436"/>
        <w:gridCol w:w="2436"/>
        <w:gridCol w:w="2436"/>
        <w:gridCol w:w="2436"/>
      </w:tblGrid>
      <w:tr>
        <w:tc>
          <w:tcPr>
            <w:tcW w:type="dxa" w:w="2436"/>
            <w:shd w:val="clear" w:color="auto" w:fill="0B2545"/>
          </w:tcPr>
          <w:p>
            <w:r/>
            <w:r>
              <w:rPr>
                <w:b/>
                <w:color w:val="FFFFFF"/>
                <w:sz w:val="21"/>
              </w:rPr>
              <w:t>Segmento</w:t>
            </w:r>
          </w:p>
        </w:tc>
        <w:tc>
          <w:tcPr>
            <w:tcW w:type="dxa" w:w="2436"/>
            <w:shd w:val="clear" w:color="auto" w:fill="0B2545"/>
          </w:tcPr>
          <w:p>
            <w:r/>
            <w:r>
              <w:rPr>
                <w:b/>
                <w:color w:val="FFFFFF"/>
                <w:sz w:val="21"/>
              </w:rPr>
              <w:t>NPS Q1 2026</w:t>
            </w:r>
          </w:p>
        </w:tc>
        <w:tc>
          <w:tcPr>
            <w:tcW w:type="dxa" w:w="2436"/>
            <w:shd w:val="clear" w:color="auto" w:fill="0B2545"/>
          </w:tcPr>
          <w:p>
            <w:r/>
            <w:r>
              <w:rPr>
                <w:b/>
                <w:color w:val="FFFFFF"/>
                <w:sz w:val="21"/>
              </w:rPr>
              <w:t>NPS Q4 2025</w:t>
            </w:r>
          </w:p>
        </w:tc>
        <w:tc>
          <w:tcPr>
            <w:tcW w:type="dxa" w:w="2436"/>
            <w:shd w:val="clear" w:color="auto" w:fill="0B2545"/>
          </w:tcPr>
          <w:p>
            <w:r/>
            <w:r>
              <w:rPr>
                <w:b/>
                <w:color w:val="FFFFFF"/>
                <w:sz w:val="21"/>
              </w:rPr>
              <w:t>Var.</w:t>
            </w:r>
          </w:p>
        </w:tc>
      </w:tr>
      <w:tr>
        <w:tc>
          <w:tcPr>
            <w:tcW w:type="dxa" w:w="2436"/>
          </w:tcPr>
          <w:p>
            <w:r>
              <w:rPr>
                <w:sz w:val="21"/>
              </w:rPr>
            </w:r>
            <w:r>
              <w:rPr>
                <w:sz w:val="21"/>
              </w:rPr>
              <w:t>&lt;25 años</w:t>
            </w:r>
          </w:p>
        </w:tc>
        <w:tc>
          <w:tcPr>
            <w:tcW w:type="dxa" w:w="2436"/>
          </w:tcPr>
          <w:p>
            <w:r>
              <w:rPr>
                <w:sz w:val="21"/>
              </w:rPr>
            </w:r>
            <w:r>
              <w:rPr>
                <w:sz w:val="21"/>
              </w:rPr>
              <w:t>28</w:t>
            </w:r>
          </w:p>
        </w:tc>
        <w:tc>
          <w:tcPr>
            <w:tcW w:type="dxa" w:w="2436"/>
          </w:tcPr>
          <w:p>
            <w:r>
              <w:rPr>
                <w:sz w:val="21"/>
              </w:rPr>
            </w:r>
            <w:r>
              <w:rPr>
                <w:sz w:val="21"/>
              </w:rPr>
              <w:t>36</w:t>
            </w:r>
          </w:p>
        </w:tc>
        <w:tc>
          <w:tcPr>
            <w:tcW w:type="dxa" w:w="2436"/>
          </w:tcPr>
          <w:p>
            <w:r>
              <w:rPr>
                <w:sz w:val="21"/>
              </w:rPr>
            </w:r>
            <w:r>
              <w:rPr>
                <w:sz w:val="21"/>
              </w:rPr>
              <w:t>-8</w:t>
            </w:r>
          </w:p>
        </w:tc>
      </w:tr>
      <w:tr>
        <w:tc>
          <w:tcPr>
            <w:tcW w:type="dxa" w:w="2436"/>
          </w:tcPr>
          <w:p>
            <w:r>
              <w:rPr>
                <w:sz w:val="21"/>
              </w:rPr>
            </w:r>
            <w:r>
              <w:rPr>
                <w:sz w:val="21"/>
              </w:rPr>
              <w:t>25-34</w:t>
            </w:r>
          </w:p>
        </w:tc>
        <w:tc>
          <w:tcPr>
            <w:tcW w:type="dxa" w:w="2436"/>
          </w:tcPr>
          <w:p>
            <w:r>
              <w:rPr>
                <w:sz w:val="21"/>
              </w:rPr>
            </w:r>
            <w:r>
              <w:rPr>
                <w:sz w:val="21"/>
              </w:rPr>
              <w:t>35</w:t>
            </w:r>
          </w:p>
        </w:tc>
        <w:tc>
          <w:tcPr>
            <w:tcW w:type="dxa" w:w="2436"/>
          </w:tcPr>
          <w:p>
            <w:r>
              <w:rPr>
                <w:sz w:val="21"/>
              </w:rPr>
            </w:r>
            <w:r>
              <w:rPr>
                <w:sz w:val="21"/>
              </w:rPr>
              <w:t>44</w:t>
            </w:r>
          </w:p>
        </w:tc>
        <w:tc>
          <w:tcPr>
            <w:tcW w:type="dxa" w:w="2436"/>
          </w:tcPr>
          <w:p>
            <w:r>
              <w:rPr>
                <w:sz w:val="21"/>
              </w:rPr>
            </w:r>
            <w:r>
              <w:rPr>
                <w:sz w:val="21"/>
              </w:rPr>
              <w:t>-9</w:t>
            </w:r>
          </w:p>
        </w:tc>
      </w:tr>
      <w:tr>
        <w:tc>
          <w:tcPr>
            <w:tcW w:type="dxa" w:w="2436"/>
          </w:tcPr>
          <w:p>
            <w:r>
              <w:rPr>
                <w:sz w:val="21"/>
              </w:rPr>
            </w:r>
            <w:r>
              <w:rPr>
                <w:sz w:val="21"/>
              </w:rPr>
              <w:t>35-44</w:t>
            </w:r>
          </w:p>
        </w:tc>
        <w:tc>
          <w:tcPr>
            <w:tcW w:type="dxa" w:w="2436"/>
          </w:tcPr>
          <w:p>
            <w:r>
              <w:rPr>
                <w:sz w:val="21"/>
              </w:rPr>
            </w:r>
            <w:r>
              <w:rPr>
                <w:sz w:val="21"/>
              </w:rPr>
              <w:t>45</w:t>
            </w:r>
          </w:p>
        </w:tc>
        <w:tc>
          <w:tcPr>
            <w:tcW w:type="dxa" w:w="2436"/>
          </w:tcPr>
          <w:p>
            <w:r>
              <w:rPr>
                <w:sz w:val="21"/>
              </w:rPr>
            </w:r>
            <w:r>
              <w:rPr>
                <w:sz w:val="21"/>
              </w:rPr>
              <w:t>51</w:t>
            </w:r>
          </w:p>
        </w:tc>
        <w:tc>
          <w:tcPr>
            <w:tcW w:type="dxa" w:w="2436"/>
          </w:tcPr>
          <w:p>
            <w:r>
              <w:rPr>
                <w:sz w:val="21"/>
              </w:rPr>
            </w:r>
            <w:r>
              <w:rPr>
                <w:sz w:val="21"/>
              </w:rPr>
              <w:t>-6</w:t>
            </w:r>
          </w:p>
        </w:tc>
      </w:tr>
      <w:tr>
        <w:tc>
          <w:tcPr>
            <w:tcW w:type="dxa" w:w="2436"/>
          </w:tcPr>
          <w:p>
            <w:r>
              <w:rPr>
                <w:sz w:val="21"/>
              </w:rPr>
            </w:r>
            <w:r>
              <w:rPr>
                <w:sz w:val="21"/>
              </w:rPr>
              <w:t>45-54</w:t>
            </w:r>
          </w:p>
        </w:tc>
        <w:tc>
          <w:tcPr>
            <w:tcW w:type="dxa" w:w="2436"/>
          </w:tcPr>
          <w:p>
            <w:r>
              <w:rPr>
                <w:sz w:val="21"/>
              </w:rPr>
            </w:r>
            <w:r>
              <w:rPr>
                <w:sz w:val="21"/>
              </w:rPr>
              <w:t>51</w:t>
            </w:r>
          </w:p>
        </w:tc>
        <w:tc>
          <w:tcPr>
            <w:tcW w:type="dxa" w:w="2436"/>
          </w:tcPr>
          <w:p>
            <w:r>
              <w:rPr>
                <w:sz w:val="21"/>
              </w:rPr>
            </w:r>
            <w:r>
              <w:rPr>
                <w:sz w:val="21"/>
              </w:rPr>
              <w:t>54</w:t>
            </w:r>
          </w:p>
        </w:tc>
        <w:tc>
          <w:tcPr>
            <w:tcW w:type="dxa" w:w="2436"/>
          </w:tcPr>
          <w:p>
            <w:r>
              <w:rPr>
                <w:sz w:val="21"/>
              </w:rPr>
            </w:r>
            <w:r>
              <w:rPr>
                <w:sz w:val="21"/>
              </w:rPr>
              <w:t>-3</w:t>
            </w:r>
          </w:p>
        </w:tc>
      </w:tr>
      <w:tr>
        <w:tc>
          <w:tcPr>
            <w:tcW w:type="dxa" w:w="2436"/>
          </w:tcPr>
          <w:p>
            <w:r>
              <w:rPr>
                <w:sz w:val="21"/>
              </w:rPr>
            </w:r>
            <w:r>
              <w:rPr>
                <w:sz w:val="21"/>
              </w:rPr>
              <w:t>55+</w:t>
            </w:r>
          </w:p>
        </w:tc>
        <w:tc>
          <w:tcPr>
            <w:tcW w:type="dxa" w:w="2436"/>
          </w:tcPr>
          <w:p>
            <w:r>
              <w:rPr>
                <w:sz w:val="21"/>
              </w:rPr>
            </w:r>
            <w:r>
              <w:rPr>
                <w:sz w:val="21"/>
              </w:rPr>
              <w:t>58</w:t>
            </w:r>
          </w:p>
        </w:tc>
        <w:tc>
          <w:tcPr>
            <w:tcW w:type="dxa" w:w="2436"/>
          </w:tcPr>
          <w:p>
            <w:r>
              <w:rPr>
                <w:sz w:val="21"/>
              </w:rPr>
            </w:r>
            <w:r>
              <w:rPr>
                <w:sz w:val="21"/>
              </w:rPr>
              <w:t>59</w:t>
            </w:r>
          </w:p>
        </w:tc>
        <w:tc>
          <w:tcPr>
            <w:tcW w:type="dxa" w:w="2436"/>
          </w:tcPr>
          <w:p>
            <w:r>
              <w:rPr>
                <w:sz w:val="21"/>
              </w:rPr>
            </w:r>
            <w:r>
              <w:rPr>
                <w:sz w:val="21"/>
              </w:rPr>
              <w:t>-1</w:t>
            </w:r>
          </w:p>
        </w:tc>
      </w:tr>
      <w:tr>
        <w:tc>
          <w:tcPr>
            <w:tcW w:type="dxa" w:w="2436"/>
          </w:tcPr>
          <w:p>
            <w:r>
              <w:rPr>
                <w:sz w:val="21"/>
              </w:rPr>
            </w:r>
            <w:r>
              <w:rPr>
                <w:b/>
                <w:sz w:val="21"/>
              </w:rPr>
              <w:t>Total</w:t>
            </w:r>
          </w:p>
        </w:tc>
        <w:tc>
          <w:tcPr>
            <w:tcW w:type="dxa" w:w="2436"/>
          </w:tcPr>
          <w:p>
            <w:r>
              <w:rPr>
                <w:sz w:val="21"/>
              </w:rPr>
            </w:r>
            <w:r>
              <w:rPr>
                <w:b/>
                <w:sz w:val="21"/>
              </w:rPr>
              <w:t>42</w:t>
            </w:r>
          </w:p>
        </w:tc>
        <w:tc>
          <w:tcPr>
            <w:tcW w:type="dxa" w:w="2436"/>
          </w:tcPr>
          <w:p>
            <w:r>
              <w:rPr>
                <w:sz w:val="21"/>
              </w:rPr>
            </w:r>
            <w:r>
              <w:rPr>
                <w:b/>
                <w:sz w:val="21"/>
              </w:rPr>
              <w:t>49</w:t>
            </w:r>
          </w:p>
        </w:tc>
        <w:tc>
          <w:tcPr>
            <w:tcW w:type="dxa" w:w="2436"/>
          </w:tcPr>
          <w:p>
            <w:r>
              <w:rPr>
                <w:sz w:val="21"/>
              </w:rPr>
            </w:r>
            <w:r>
              <w:rPr>
                <w:b/>
                <w:sz w:val="21"/>
              </w:rPr>
              <w:t>-7</w:t>
            </w:r>
          </w:p>
        </w:tc>
      </w:tr>
    </w:tbl>
    <w:p/>
    <w:p>
      <w:r>
        <w:rPr>
          <w:b/>
        </w:rPr>
        <w:t>Hallazgo clave:</w:t>
      </w:r>
      <w:r>
        <w:t xml:space="preserve"> el deterioro se concentra en &lt;35 años. Segmento 55+ se mantiene leal.</w:t>
      </w:r>
    </w:p>
    <w:p>
      <w:pPr>
        <w:pStyle w:val="Heading1"/>
      </w:pPr>
      <w:r>
        <w:rPr>
          <w:color w:val="0B2545"/>
        </w:rPr>
        <w:t>3. Distribución de respuestas</w:t>
      </w:r>
    </w:p>
    <w:p>
      <w:pPr>
        <w:pStyle w:val="ListBullet"/>
      </w:pPr>
      <w:r>
        <w:t>Promotores (9-10): 38% (vs. 42% Q4)</w:t>
      </w:r>
    </w:p>
    <w:p>
      <w:pPr>
        <w:pStyle w:val="ListBullet"/>
      </w:pPr>
      <w:r>
        <w:t>Pasivos (7-8): 38% (vs. 40% Q4)</w:t>
      </w:r>
    </w:p>
    <w:p>
      <w:pPr>
        <w:pStyle w:val="ListBullet"/>
      </w:pPr>
      <w:r>
        <w:t>Detractores (0-6): 24% (vs. 18% Q4)</w:t>
      </w:r>
    </w:p>
    <w:p>
      <w:r>
        <w:t xml:space="preserve">Los detractores crecieron </w:t>
      </w:r>
      <w:r>
        <w:rPr>
          <w:b/>
        </w:rPr>
        <w:t>6 puntos porcentuales</w:t>
      </w:r>
      <w:r>
        <w:t xml:space="preserve"> en un solo trimestre.</w:t>
      </w:r>
    </w:p>
    <w:p>
      <w:pPr>
        <w:pBdr>
          <w:bottom w:val="single" w:sz="6" w:space="1" w:color="B0B6C2"/>
        </w:pBdr>
      </w:pPr>
    </w:p>
    <w:p>
      <w:pPr>
        <w:pStyle w:val="Heading1"/>
      </w:pPr>
      <w:r>
        <w:rPr>
          <w:color w:val="0B2545"/>
        </w:rPr>
        <w:t>4. Top 10 causas de quejas (detractores)</w:t>
      </w:r>
    </w:p>
    <w:p>
      <w:r>
        <w:t>Análisis cualitativo de 3,408 comentarios textuales de detractores:</w:t>
      </w:r>
    </w:p>
    <w:tbl>
      <w:tblPr>
        <w:tblStyle w:val="LightGrid-Accent1"/>
        <w:tblW w:type="auto" w:w="0"/>
        <w:tblLook w:firstColumn="1" w:firstRow="1" w:lastColumn="0" w:lastRow="0" w:noHBand="0" w:noVBand="1" w:val="04A0"/>
      </w:tblPr>
      <w:tblGrid>
        <w:gridCol w:w="3249"/>
        <w:gridCol w:w="3249"/>
        <w:gridCol w:w="3249"/>
      </w:tblGrid>
      <w:tr>
        <w:tc>
          <w:tcPr>
            <w:tcW w:type="dxa" w:w="3249"/>
            <w:shd w:val="clear" w:color="auto" w:fill="0B2545"/>
          </w:tcPr>
          <w:p>
            <w:r/>
            <w:r>
              <w:rPr>
                <w:b/>
                <w:color w:val="FFFFFF"/>
                <w:sz w:val="21"/>
              </w:rPr>
              <w:t>#</w:t>
            </w:r>
          </w:p>
        </w:tc>
        <w:tc>
          <w:tcPr>
            <w:tcW w:type="dxa" w:w="3249"/>
            <w:shd w:val="clear" w:color="auto" w:fill="0B2545"/>
          </w:tcPr>
          <w:p>
            <w:r/>
            <w:r>
              <w:rPr>
                <w:b/>
                <w:color w:val="FFFFFF"/>
                <w:sz w:val="21"/>
              </w:rPr>
              <w:t>Causa</w:t>
            </w:r>
          </w:p>
        </w:tc>
        <w:tc>
          <w:tcPr>
            <w:tcW w:type="dxa" w:w="3249"/>
            <w:shd w:val="clear" w:color="auto" w:fill="0B2545"/>
          </w:tcPr>
          <w:p>
            <w:r/>
            <w:r>
              <w:rPr>
                <w:b/>
                <w:color w:val="FFFFFF"/>
                <w:sz w:val="21"/>
              </w:rPr>
              <w:t>% de menciones</w:t>
            </w:r>
          </w:p>
        </w:tc>
      </w:tr>
      <w:tr>
        <w:tc>
          <w:tcPr>
            <w:tcW w:type="dxa" w:w="3249"/>
          </w:tcPr>
          <w:p>
            <w:r>
              <w:rPr>
                <w:sz w:val="21"/>
              </w:rPr>
            </w:r>
            <w:r>
              <w:rPr>
                <w:sz w:val="21"/>
              </w:rPr>
              <w:t>1</w:t>
            </w:r>
          </w:p>
        </w:tc>
        <w:tc>
          <w:tcPr>
            <w:tcW w:type="dxa" w:w="3249"/>
          </w:tcPr>
          <w:p>
            <w:r>
              <w:rPr>
                <w:sz w:val="21"/>
              </w:rPr>
            </w:r>
            <w:r>
              <w:rPr>
                <w:sz w:val="21"/>
              </w:rPr>
              <w:t>"La app es lenta / se cierra sola"</w:t>
            </w:r>
          </w:p>
        </w:tc>
        <w:tc>
          <w:tcPr>
            <w:tcW w:type="dxa" w:w="3249"/>
          </w:tcPr>
          <w:p>
            <w:r>
              <w:rPr>
                <w:sz w:val="21"/>
              </w:rPr>
            </w:r>
            <w:r>
              <w:rPr>
                <w:sz w:val="21"/>
              </w:rPr>
              <w:t>28.4%</w:t>
            </w:r>
          </w:p>
        </w:tc>
      </w:tr>
      <w:tr>
        <w:tc>
          <w:tcPr>
            <w:tcW w:type="dxa" w:w="3249"/>
          </w:tcPr>
          <w:p>
            <w:r>
              <w:rPr>
                <w:sz w:val="21"/>
              </w:rPr>
            </w:r>
            <w:r>
              <w:rPr>
                <w:sz w:val="21"/>
              </w:rPr>
              <w:t>2</w:t>
            </w:r>
          </w:p>
        </w:tc>
        <w:tc>
          <w:tcPr>
            <w:tcW w:type="dxa" w:w="3249"/>
          </w:tcPr>
          <w:p>
            <w:r>
              <w:rPr>
                <w:sz w:val="21"/>
              </w:rPr>
            </w:r>
            <w:r>
              <w:rPr>
                <w:sz w:val="21"/>
              </w:rPr>
              <w:t>"El crédito me salió más caro que lo que decía la app"</w:t>
            </w:r>
          </w:p>
        </w:tc>
        <w:tc>
          <w:tcPr>
            <w:tcW w:type="dxa" w:w="3249"/>
          </w:tcPr>
          <w:p>
            <w:r>
              <w:rPr>
                <w:sz w:val="21"/>
              </w:rPr>
            </w:r>
            <w:r>
              <w:rPr>
                <w:sz w:val="21"/>
              </w:rPr>
              <w:t>14.7%</w:t>
            </w:r>
          </w:p>
        </w:tc>
      </w:tr>
      <w:tr>
        <w:tc>
          <w:tcPr>
            <w:tcW w:type="dxa" w:w="3249"/>
          </w:tcPr>
          <w:p>
            <w:r>
              <w:rPr>
                <w:sz w:val="21"/>
              </w:rPr>
            </w:r>
            <w:r>
              <w:rPr>
                <w:sz w:val="21"/>
              </w:rPr>
              <w:t>3</w:t>
            </w:r>
          </w:p>
        </w:tc>
        <w:tc>
          <w:tcPr>
            <w:tcW w:type="dxa" w:w="3249"/>
          </w:tcPr>
          <w:p>
            <w:r>
              <w:rPr>
                <w:sz w:val="21"/>
              </w:rPr>
            </w:r>
            <w:r>
              <w:rPr>
                <w:sz w:val="21"/>
              </w:rPr>
              <w:t>"No me dejó hacer un depósito en el cajero"</w:t>
            </w:r>
          </w:p>
        </w:tc>
        <w:tc>
          <w:tcPr>
            <w:tcW w:type="dxa" w:w="3249"/>
          </w:tcPr>
          <w:p>
            <w:r>
              <w:rPr>
                <w:sz w:val="21"/>
              </w:rPr>
            </w:r>
            <w:r>
              <w:rPr>
                <w:sz w:val="21"/>
              </w:rPr>
              <w:t>11.3%</w:t>
            </w:r>
          </w:p>
        </w:tc>
      </w:tr>
      <w:tr>
        <w:tc>
          <w:tcPr>
            <w:tcW w:type="dxa" w:w="3249"/>
          </w:tcPr>
          <w:p>
            <w:r>
              <w:rPr>
                <w:sz w:val="21"/>
              </w:rPr>
            </w:r>
            <w:r>
              <w:rPr>
                <w:sz w:val="21"/>
              </w:rPr>
              <w:t>4</w:t>
            </w:r>
          </w:p>
        </w:tc>
        <w:tc>
          <w:tcPr>
            <w:tcW w:type="dxa" w:w="3249"/>
          </w:tcPr>
          <w:p>
            <w:r>
              <w:rPr>
                <w:sz w:val="21"/>
              </w:rPr>
            </w:r>
            <w:r>
              <w:rPr>
                <w:sz w:val="21"/>
              </w:rPr>
              <w:t>"Mala atención cuando tengo problemas"</w:t>
            </w:r>
          </w:p>
        </w:tc>
        <w:tc>
          <w:tcPr>
            <w:tcW w:type="dxa" w:w="3249"/>
          </w:tcPr>
          <w:p>
            <w:r>
              <w:rPr>
                <w:sz w:val="21"/>
              </w:rPr>
            </w:r>
            <w:r>
              <w:rPr>
                <w:sz w:val="21"/>
              </w:rPr>
              <w:t>9.8%</w:t>
            </w:r>
          </w:p>
        </w:tc>
      </w:tr>
      <w:tr>
        <w:tc>
          <w:tcPr>
            <w:tcW w:type="dxa" w:w="3249"/>
          </w:tcPr>
          <w:p>
            <w:r>
              <w:rPr>
                <w:sz w:val="21"/>
              </w:rPr>
            </w:r>
            <w:r>
              <w:rPr>
                <w:sz w:val="21"/>
              </w:rPr>
              <w:t>5</w:t>
            </w:r>
          </w:p>
        </w:tc>
        <w:tc>
          <w:tcPr>
            <w:tcW w:type="dxa" w:w="3249"/>
          </w:tcPr>
          <w:p>
            <w:r>
              <w:rPr>
                <w:sz w:val="21"/>
              </w:rPr>
            </w:r>
            <w:r>
              <w:rPr>
                <w:sz w:val="21"/>
              </w:rPr>
              <w:t>"La app no me reconoce aunque meta bien mi contraseña"</w:t>
            </w:r>
          </w:p>
        </w:tc>
        <w:tc>
          <w:tcPr>
            <w:tcW w:type="dxa" w:w="3249"/>
          </w:tcPr>
          <w:p>
            <w:r>
              <w:rPr>
                <w:sz w:val="21"/>
              </w:rPr>
            </w:r>
            <w:r>
              <w:rPr>
                <w:sz w:val="21"/>
              </w:rPr>
              <w:t>8.2%</w:t>
            </w:r>
          </w:p>
        </w:tc>
      </w:tr>
      <w:tr>
        <w:tc>
          <w:tcPr>
            <w:tcW w:type="dxa" w:w="3249"/>
          </w:tcPr>
          <w:p>
            <w:r>
              <w:rPr>
                <w:sz w:val="21"/>
              </w:rPr>
            </w:r>
            <w:r>
              <w:rPr>
                <w:sz w:val="21"/>
              </w:rPr>
              <w:t>6</w:t>
            </w:r>
          </w:p>
        </w:tc>
        <w:tc>
          <w:tcPr>
            <w:tcW w:type="dxa" w:w="3249"/>
          </w:tcPr>
          <w:p>
            <w:r>
              <w:rPr>
                <w:sz w:val="21"/>
              </w:rPr>
            </w:r>
            <w:r>
              <w:rPr>
                <w:sz w:val="21"/>
              </w:rPr>
              <w:t>"Me tardó mucho darme de alta, fui a sucursal porque no pude digital"</w:t>
            </w:r>
          </w:p>
        </w:tc>
        <w:tc>
          <w:tcPr>
            <w:tcW w:type="dxa" w:w="3249"/>
          </w:tcPr>
          <w:p>
            <w:r>
              <w:rPr>
                <w:sz w:val="21"/>
              </w:rPr>
            </w:r>
            <w:r>
              <w:rPr>
                <w:sz w:val="21"/>
              </w:rPr>
              <w:t>7.1%</w:t>
            </w:r>
          </w:p>
        </w:tc>
      </w:tr>
      <w:tr>
        <w:tc>
          <w:tcPr>
            <w:tcW w:type="dxa" w:w="3249"/>
          </w:tcPr>
          <w:p>
            <w:r>
              <w:rPr>
                <w:sz w:val="21"/>
              </w:rPr>
            </w:r>
            <w:r>
              <w:rPr>
                <w:sz w:val="21"/>
              </w:rPr>
              <w:t>7</w:t>
            </w:r>
          </w:p>
        </w:tc>
        <w:tc>
          <w:tcPr>
            <w:tcW w:type="dxa" w:w="3249"/>
          </w:tcPr>
          <w:p>
            <w:r>
              <w:rPr>
                <w:sz w:val="21"/>
              </w:rPr>
            </w:r>
            <w:r>
              <w:rPr>
                <w:sz w:val="21"/>
              </w:rPr>
              <w:t>"Cobro extraño / cargo que no autoricé"</w:t>
            </w:r>
          </w:p>
        </w:tc>
        <w:tc>
          <w:tcPr>
            <w:tcW w:type="dxa" w:w="3249"/>
          </w:tcPr>
          <w:p>
            <w:r>
              <w:rPr>
                <w:sz w:val="21"/>
              </w:rPr>
            </w:r>
            <w:r>
              <w:rPr>
                <w:sz w:val="21"/>
              </w:rPr>
              <w:t>6.9%</w:t>
            </w:r>
          </w:p>
        </w:tc>
      </w:tr>
      <w:tr>
        <w:tc>
          <w:tcPr>
            <w:tcW w:type="dxa" w:w="3249"/>
          </w:tcPr>
          <w:p>
            <w:r>
              <w:rPr>
                <w:sz w:val="21"/>
              </w:rPr>
            </w:r>
            <w:r>
              <w:rPr>
                <w:sz w:val="21"/>
              </w:rPr>
              <w:t>8</w:t>
            </w:r>
          </w:p>
        </w:tc>
        <w:tc>
          <w:tcPr>
            <w:tcW w:type="dxa" w:w="3249"/>
          </w:tcPr>
          <w:p>
            <w:r>
              <w:rPr>
                <w:sz w:val="21"/>
              </w:rPr>
            </w:r>
            <w:r>
              <w:rPr>
                <w:sz w:val="21"/>
              </w:rPr>
              <w:t>"Tardan mucho en responder por chat o teléfono"</w:t>
            </w:r>
          </w:p>
        </w:tc>
        <w:tc>
          <w:tcPr>
            <w:tcW w:type="dxa" w:w="3249"/>
          </w:tcPr>
          <w:p>
            <w:r>
              <w:rPr>
                <w:sz w:val="21"/>
              </w:rPr>
            </w:r>
            <w:r>
              <w:rPr>
                <w:sz w:val="21"/>
              </w:rPr>
              <w:t>5.4%</w:t>
            </w:r>
          </w:p>
        </w:tc>
      </w:tr>
      <w:tr>
        <w:tc>
          <w:tcPr>
            <w:tcW w:type="dxa" w:w="3249"/>
          </w:tcPr>
          <w:p>
            <w:r>
              <w:rPr>
                <w:sz w:val="21"/>
              </w:rPr>
            </w:r>
            <w:r>
              <w:rPr>
                <w:sz w:val="21"/>
              </w:rPr>
              <w:t>9</w:t>
            </w:r>
          </w:p>
        </w:tc>
        <w:tc>
          <w:tcPr>
            <w:tcW w:type="dxa" w:w="3249"/>
          </w:tcPr>
          <w:p>
            <w:r>
              <w:rPr>
                <w:sz w:val="21"/>
              </w:rPr>
            </w:r>
            <w:r>
              <w:rPr>
                <w:sz w:val="21"/>
              </w:rPr>
              <w:t>"La app está caída muy seguido"</w:t>
            </w:r>
          </w:p>
        </w:tc>
        <w:tc>
          <w:tcPr>
            <w:tcW w:type="dxa" w:w="3249"/>
          </w:tcPr>
          <w:p>
            <w:r>
              <w:rPr>
                <w:sz w:val="21"/>
              </w:rPr>
            </w:r>
            <w:r>
              <w:rPr>
                <w:sz w:val="21"/>
              </w:rPr>
              <w:t>4.3%</w:t>
            </w:r>
          </w:p>
        </w:tc>
      </w:tr>
      <w:tr>
        <w:tc>
          <w:tcPr>
            <w:tcW w:type="dxa" w:w="3249"/>
          </w:tcPr>
          <w:p>
            <w:r>
              <w:rPr>
                <w:sz w:val="21"/>
              </w:rPr>
            </w:r>
            <w:r>
              <w:rPr>
                <w:sz w:val="21"/>
              </w:rPr>
              <w:t>10</w:t>
            </w:r>
          </w:p>
        </w:tc>
        <w:tc>
          <w:tcPr>
            <w:tcW w:type="dxa" w:w="3249"/>
          </w:tcPr>
          <w:p>
            <w:r>
              <w:rPr>
                <w:sz w:val="21"/>
              </w:rPr>
            </w:r>
            <w:r>
              <w:rPr>
                <w:sz w:val="21"/>
              </w:rPr>
              <w:t>"No entiendo los términos, no están claros"</w:t>
            </w:r>
          </w:p>
        </w:tc>
        <w:tc>
          <w:tcPr>
            <w:tcW w:type="dxa" w:w="3249"/>
          </w:tcPr>
          <w:p>
            <w:r>
              <w:rPr>
                <w:sz w:val="21"/>
              </w:rPr>
            </w:r>
            <w:r>
              <w:rPr>
                <w:sz w:val="21"/>
              </w:rPr>
              <w:t>3.9%</w:t>
            </w:r>
          </w:p>
        </w:tc>
      </w:tr>
    </w:tbl>
    <w:p/>
    <w:p>
      <w:pPr>
        <w:pBdr>
          <w:bottom w:val="single" w:sz="6" w:space="1" w:color="B0B6C2"/>
        </w:pBdr>
      </w:pPr>
    </w:p>
    <w:p>
      <w:pPr>
        <w:pStyle w:val="Heading1"/>
      </w:pPr>
      <w:r>
        <w:rPr>
          <w:color w:val="0B2545"/>
        </w:rPr>
        <w:t>5. Hallazgo cross-UN — Conectividad y Totalplay</w:t>
      </w:r>
    </w:p>
    <w:p>
      <w:r>
        <w:rPr>
          <w:b/>
        </w:rPr>
        <w:t>Cruce de base de clientes Banco Azteca con base de suscriptores Totalplay:</w:t>
      </w:r>
    </w:p>
    <w:p>
      <w:pPr>
        <w:pStyle w:val="ListBullet"/>
      </w:pPr>
      <w:r>
        <w:t xml:space="preserve">1,942 clientes de la muestra tienen </w:t>
      </w:r>
      <w:r>
        <w:rPr>
          <w:b/>
        </w:rPr>
        <w:t>ambos</w:t>
      </w:r>
      <w:r>
        <w:t xml:space="preserve"> servicios.</w:t>
      </w:r>
    </w:p>
    <w:p>
      <w:pPr>
        <w:pStyle w:val="ListBullet"/>
      </w:pPr>
      <w:r>
        <w:t xml:space="preserve">De ellos, </w:t>
      </w:r>
      <w:r>
        <w:rPr>
          <w:b/>
        </w:rPr>
        <w:t>34.1% se quejaron de velocidad o intermitencia de la app</w:t>
      </w:r>
      <w:r>
        <w:t>, vs. 18.3% del resto de la muestra.</w:t>
      </w:r>
    </w:p>
    <w:p>
      <w:pPr>
        <w:pStyle w:val="ListBullet"/>
      </w:pPr>
      <w:r>
        <w:t>La concentración geográfica de esta correlación es:</w:t>
      </w:r>
    </w:p>
    <w:p>
      <w:pPr>
        <w:pStyle w:val="ListBullet"/>
      </w:pPr>
      <w:r>
        <w:rPr>
          <w:b/>
        </w:rPr>
        <w:t>León, Guanajuato</w:t>
      </w:r>
      <w:r>
        <w:t xml:space="preserve"> — 42% de clientes dual se quejaron de velocidad (vs. promedio 34.1%).</w:t>
      </w:r>
    </w:p>
    <w:p>
      <w:pPr>
        <w:pStyle w:val="ListBullet"/>
      </w:pPr>
      <w:r>
        <w:rPr>
          <w:b/>
        </w:rPr>
        <w:t>Mérida, Yucatán</w:t>
      </w:r>
      <w:r>
        <w:t xml:space="preserve"> — 39%.</w:t>
      </w:r>
    </w:p>
    <w:p>
      <w:pPr>
        <w:pStyle w:val="ListBullet"/>
      </w:pPr>
      <w:r>
        <w:rPr>
          <w:b/>
        </w:rPr>
        <w:t>Culiacán, Sinaloa</w:t>
      </w:r>
      <w:r>
        <w:t xml:space="preserve"> — 38%.</w:t>
      </w:r>
    </w:p>
    <w:p>
      <w:pPr>
        <w:pStyle w:val="ListBullet"/>
      </w:pPr>
      <w:r>
        <w:rPr>
          <w:b/>
        </w:rPr>
        <w:t>Toluca, Edomex</w:t>
      </w:r>
      <w:r>
        <w:t xml:space="preserve"> — 36%.</w:t>
      </w:r>
    </w:p>
    <w:p>
      <w:r>
        <w:t>Son las mismas 4 ciudades donde el churn mensual de Totalplay supera 2.5% según el reporte operativo de Totalplay Q1.</w:t>
      </w:r>
    </w:p>
    <w:p>
      <w:r>
        <w:rPr>
          <w:b/>
        </w:rPr>
        <w:t>Hipótesis planteada por Ingeniería:</w:t>
      </w:r>
      <w:r>
        <w:t xml:space="preserve"> la app cae a 3G cuando el wifi del hogar es inestable. En ciudades con red HFC vieja de Totalplay (las mismas cuatro), el wifi es intermitente, la app entra en degraded mode, la experiencia es mala, y el cliente culpa a Banco Azteca — no a Totalplay.</w:t>
      </w:r>
    </w:p>
    <w:p>
      <w:r>
        <w:rPr>
          <w:b/>
        </w:rPr>
        <w:t>Implicación para Banco Azteca:</w:t>
      </w:r>
    </w:p>
    <w:p>
      <w:pPr>
        <w:pStyle w:val="ListBullet"/>
      </w:pPr>
      <w:r>
        <w:t xml:space="preserve">El problema de NPS en esas 4 ciudades </w:t>
      </w:r>
      <w:r>
        <w:rPr>
          <w:b/>
        </w:rPr>
        <w:t>NO se puede resolver con código propio</w:t>
      </w:r>
      <w:r>
        <w:t>.</w:t>
      </w:r>
    </w:p>
    <w:p>
      <w:pPr>
        <w:pStyle w:val="ListBullet"/>
      </w:pPr>
      <w:r>
        <w:t>Cualquier mejora de performance de la app será invisible si el wifi de casa es malo.</w:t>
      </w:r>
    </w:p>
    <w:p>
      <w:pPr>
        <w:pStyle w:val="ListBullet"/>
      </w:pPr>
      <w:r>
        <w:t>La decisión de postergar la migración HFC → FTTH de Totalplay (que actualmente está en evaluación de CapEx) afecta directamente a NPS de Banco Azteca.</w:t>
      </w:r>
    </w:p>
    <w:p>
      <w:r>
        <w:rPr>
          <w:b/>
        </w:rPr>
        <w:t>Dato adicional:</w:t>
      </w:r>
      <w:r>
        <w:t xml:space="preserve"> el roadmap de producto actual (versión 3.2 del 1 de abril) lista explícitamente bajo "Temas NO incluidos": </w:t>
      </w:r>
      <w:r>
        <w:rPr>
          <w:i/>
        </w:rPr>
        <w:t>"Integración con Totalplay o TV Azteca (migración cross-UN, bundles)"</w:t>
      </w:r>
      <w:r>
        <w:t>. No hay proyecto activo que aborde este riesgo.</w:t>
      </w:r>
    </w:p>
    <w:p>
      <w:pPr>
        <w:pBdr>
          <w:bottom w:val="single" w:sz="6" w:space="1" w:color="B0B6C2"/>
        </w:pBdr>
      </w:pPr>
    </w:p>
    <w:p>
      <w:pPr>
        <w:pStyle w:val="Heading1"/>
      </w:pPr>
      <w:r>
        <w:rPr>
          <w:color w:val="0B2545"/>
        </w:rPr>
        <w:t>6. Verbatims seleccionados (anonimizados)</w:t>
      </w:r>
    </w:p>
    <w:p>
      <w:pPr>
        <w:ind w:left="454"/>
      </w:pPr>
      <w:r>
        <w:rPr>
          <w:i/>
          <w:color w:val="5B6676"/>
        </w:rPr>
        <w:t>"La app está bien cuando funciona. El problema es que se me cierra 2 de cada 5 veces que quiero hacer algo. Prefiero ir al cajero." — F, 29, CDMX</w:t>
      </w:r>
    </w:p>
    <w:p>
      <w:pPr>
        <w:ind w:left="454"/>
      </w:pPr>
      <w:r>
        <w:rPr>
          <w:i/>
          <w:color w:val="5B6676"/>
        </w:rPr>
        <w:t>"Me dijeron en la app que mi tasa iba a ser 34%. Cuando firmé, era 49%. Me hicieron perder media hora." — M, 41, Guadalajara</w:t>
      </w:r>
    </w:p>
    <w:p>
      <w:pPr>
        <w:ind w:left="454"/>
      </w:pPr>
      <w:r>
        <w:rPr>
          <w:i/>
          <w:color w:val="5B6676"/>
        </w:rPr>
        <w:t>"Llevo 3 meses con un cargo que no autoricé y nadie me responde por chat. Voy a cerrar la cuenta." — M, 34, Monterrey</w:t>
      </w:r>
    </w:p>
    <w:p>
      <w:pPr>
        <w:ind w:left="454"/>
      </w:pPr>
      <w:r>
        <w:rPr>
          <w:i/>
          <w:color w:val="5B6676"/>
        </w:rPr>
        <w:t>"En mi casa el internet se cae seguido y la app no aguanta eso. Cuando estoy en la oficina funciona bien." — F, 27, Mérida</w:t>
      </w:r>
    </w:p>
    <w:p>
      <w:pPr>
        <w:ind w:left="454"/>
      </w:pPr>
      <w:r>
        <w:rPr>
          <w:i/>
          <w:color w:val="5B6676"/>
        </w:rPr>
        <w:t>"No me gusta que me pregunten el teléfono cada vez que abro la app. Ya me conocen." — M, 52, León</w:t>
      </w:r>
    </w:p>
    <w:p>
      <w:pPr>
        <w:ind w:left="454"/>
      </w:pPr>
      <w:r>
        <w:rPr>
          <w:i/>
          <w:color w:val="5B6676"/>
        </w:rPr>
        <w:t>"Prefiero Banco Azteca porque puedo ir a la tienda si tengo broncas. Pero la app está mal." — F, 38, Toluca</w:t>
      </w:r>
    </w:p>
    <w:p>
      <w:pPr>
        <w:ind w:left="454"/>
      </w:pPr>
      <w:r>
        <w:rPr>
          <w:i/>
          <w:color w:val="5B6676"/>
        </w:rPr>
        <w:t>"Tardan mucho en responder. Y cuando contestan me cambian de ejecutivo y repito todo." — M, 44, Villahermosa</w:t>
      </w:r>
    </w:p>
    <w:p>
      <w:pPr>
        <w:ind w:left="454"/>
      </w:pPr>
      <w:r>
        <w:rPr>
          <w:i/>
          <w:color w:val="5B6676"/>
        </w:rPr>
        <w:t>"Mis hijos me ayudan con la app porque yo no entiendo. Pero cuando ellos no están, no puedo hacer nada." — F, 67, Puebla</w:t>
      </w:r>
    </w:p>
    <w:p>
      <w:pPr>
        <w:ind w:left="454"/>
      </w:pPr>
      <w:r>
        <w:rPr>
          <w:i/>
          <w:color w:val="5B6676"/>
        </w:rPr>
        <w:t>"El crédito me lo dieron rápido, pero el pago mensual me sale distinto cada mes y no entiendo por qué." — M, 31, Querétaro</w:t>
      </w:r>
    </w:p>
    <w:p>
      <w:pPr>
        <w:ind w:left="454"/>
      </w:pPr>
      <w:r>
        <w:rPr>
          <w:i/>
          <w:color w:val="5B6676"/>
        </w:rPr>
        <w:t>"Uso la app para todo. Cuando funciona es mejor que ir al banco." — F, 24, CDMX (promotor, 10/10)</w:t>
      </w:r>
    </w:p>
    <w:p>
      <w:pPr>
        <w:pBdr>
          <w:bottom w:val="single" w:sz="6" w:space="1" w:color="B0B6C2"/>
        </w:pBdr>
      </w:pPr>
    </w:p>
    <w:p>
      <w:pPr>
        <w:pStyle w:val="Heading1"/>
      </w:pPr>
      <w:r>
        <w:rPr>
          <w:color w:val="0B2545"/>
        </w:rPr>
        <w:t>7. Recomendaciones de Analítica</w:t>
      </w:r>
    </w:p>
    <w:p>
      <w:pPr>
        <w:pStyle w:val="ListNumber"/>
      </w:pPr>
      <w:r>
        <w:rPr>
          <w:b/>
        </w:rPr>
        <w:t>Urgente:</w:t>
      </w:r>
      <w:r>
        <w:t xml:space="preserve"> mostrar CAT real en primera pantalla del flujo de crédito. Causa raíz de la queja #2 (14.7%).</w:t>
      </w:r>
    </w:p>
    <w:p>
      <w:pPr>
        <w:pStyle w:val="ListNumber"/>
      </w:pPr>
      <w:r>
        <w:rPr>
          <w:b/>
        </w:rPr>
        <w:t>Alta prioridad:</w:t>
      </w:r>
      <w:r>
        <w:t xml:space="preserve"> investigar si la queja de "app lenta" (28.4%) se puede reducir sin tocar Totalplay, o si requiere intervención cross-UN.</w:t>
      </w:r>
    </w:p>
    <w:p>
      <w:pPr>
        <w:pStyle w:val="ListNumber"/>
      </w:pPr>
      <w:r>
        <w:rPr>
          <w:b/>
        </w:rPr>
        <w:t>Media prioridad:</w:t>
      </w:r>
      <w:r>
        <w:t xml:space="preserve"> mejorar flujos de atención al cliente (quejas #4 y #8 suman 15.2%).</w:t>
      </w:r>
    </w:p>
    <w:p>
      <w:pPr>
        <w:pStyle w:val="ListNumber"/>
      </w:pPr>
      <w:r>
        <w:rPr>
          <w:b/>
        </w:rPr>
        <w:t>Para discusión de Comité:</w:t>
      </w:r>
      <w:r>
        <w:t xml:space="preserve"> el hallazgo Banco-Totalplay es transversal. Requiere decisión de governance cross-UN.</w:t>
      </w:r>
    </w:p>
    <w:p>
      <w:pPr>
        <w:pBdr>
          <w:bottom w:val="single" w:sz="6" w:space="1" w:color="B0B6C2"/>
        </w:pBdr>
      </w:pPr>
    </w:p>
    <w:p>
      <w:r>
        <w:rPr>
          <w:i/>
        </w:rPr>
        <w:t>Reporte preparado trimestralmente por Data &amp; Analytics. Próxima edición: finales de julio 2026 (Q2).</w:t>
      </w:r>
    </w:p>
    <w:sectPr w:rsidR="00FC693F" w:rsidRPr="0006063C" w:rsidSect="00034616">
      <w:pgSz w:w="12240" w:h="15840"/>
      <w:pgMar w:top="1134" w:right="1247" w:bottom="1134"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B2545"/>
      <w:sz w:val="4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B2545"/>
      <w:sz w:val="30"/>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B2545"/>
      <w:sz w:val="26"/>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