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color w:val="0B2545"/>
        </w:rPr>
        <w:t>Roadmap Producto 2026 — Banco Azteca Digital</w:t>
      </w:r>
    </w:p>
    <w:p>
      <w:pPr>
        <w:pStyle w:val="Heading1"/>
      </w:pPr>
      <w:r>
        <w:rPr>
          <w:color w:val="0B2545"/>
        </w:rPr>
        <w:t>App Banca Móvil + Plataforma de Servicios Financieros</w:t>
      </w:r>
    </w:p>
    <w:p>
      <w:r>
        <w:rPr>
          <w:b/>
        </w:rPr>
        <w:t>Versión:</w:t>
      </w:r>
      <w:r>
        <w:t xml:space="preserve"> 3.2</w:t>
      </w:r>
    </w:p>
    <w:p>
      <w:r>
        <w:rPr>
          <w:b/>
        </w:rPr>
        <w:t>Última actualización:</w:t>
      </w:r>
      <w:r>
        <w:t xml:space="preserve"> 1 de abril de 2026</w:t>
      </w:r>
    </w:p>
    <w:p>
      <w:r>
        <w:rPr>
          <w:b/>
        </w:rPr>
        <w:t>Owner:</w:t>
      </w:r>
      <w:r>
        <w:t xml:space="preserve"> Fernanda Cruz, VP Banca Digital</w:t>
      </w:r>
    </w:p>
    <w:p>
      <w:r>
        <w:rPr>
          <w:b/>
        </w:rPr>
        <w:t>Distribución:</w:t>
      </w:r>
      <w:r>
        <w:t xml:space="preserve"> Comité Ejecutivo, Directores de Producto e Ingeniería</w:t>
      </w:r>
    </w:p>
    <w:p>
      <w:pPr>
        <w:pBdr>
          <w:bottom w:val="single" w:sz="6" w:space="1" w:color="B0B6C2"/>
        </w:pBdr>
      </w:pPr>
    </w:p>
    <w:p>
      <w:pPr>
        <w:pStyle w:val="Heading1"/>
      </w:pPr>
      <w:r>
        <w:rPr>
          <w:color w:val="0B2545"/>
        </w:rPr>
        <w:t>1. Visión 2026</w:t>
      </w:r>
    </w:p>
    <w:p>
      <w:r>
        <w:t>Llevar Banco Azteca de un banco físico con app complementaria a un banco digital con sucursales de soporte. Métrica norte: NPS &gt;60 y 4 millones de clientes &lt;35 años para 2028.</w:t>
      </w:r>
    </w:p>
    <w:p>
      <w:pPr>
        <w:pStyle w:val="Heading1"/>
      </w:pPr>
      <w:r>
        <w:rPr>
          <w:color w:val="0B2545"/>
        </w:rPr>
        <w:t>2. Pilares del Roadmap 2026</w:t>
      </w:r>
    </w:p>
    <w:p>
      <w:pPr>
        <w:pStyle w:val="Heading2"/>
      </w:pPr>
      <w:r>
        <w:rPr>
          <w:color w:val="0B2545"/>
        </w:rPr>
        <w:t>Pilar 1 — Reducción de fricción</w:t>
      </w:r>
    </w:p>
    <w:p>
      <w:r>
        <w:t>Objetivo: onboarding &lt;10 minutos. Solicitar crédito &lt;5 minutos. Abrir cuenta &lt;3 minutos.</w:t>
      </w:r>
    </w:p>
    <w:p>
      <w:pPr>
        <w:pStyle w:val="Heading2"/>
      </w:pPr>
      <w:r>
        <w:rPr>
          <w:color w:val="0B2545"/>
        </w:rPr>
        <w:t>Pilar 2 — Inclusión de nuevos productos</w:t>
      </w:r>
    </w:p>
    <w:p>
      <w:r>
        <w:t>Objetivo: lanzar 3 productos digitales nuevos en 2026. Tarjeta sin anualidad, crédito nómina digital, y pagos por QR v2.</w:t>
      </w:r>
    </w:p>
    <w:p>
      <w:pPr>
        <w:pStyle w:val="Heading2"/>
      </w:pPr>
      <w:r>
        <w:rPr>
          <w:color w:val="0B2545"/>
        </w:rPr>
        <w:t>Pilar 3 — Estabilidad y confianza</w:t>
      </w:r>
    </w:p>
    <w:p>
      <w:r>
        <w:t>Objetivo: 99.95% de uptime. Cero incidentes de cobro incorrecto. NPS &gt; 55 sostenido.</w:t>
      </w:r>
    </w:p>
    <w:p>
      <w:pPr>
        <w:pBdr>
          <w:bottom w:val="single" w:sz="6" w:space="1" w:color="B0B6C2"/>
        </w:pBdr>
      </w:pPr>
    </w:p>
    <w:p>
      <w:pPr>
        <w:pStyle w:val="Heading1"/>
      </w:pPr>
      <w:r>
        <w:rPr>
          <w:color w:val="0B2545"/>
        </w:rPr>
        <w:t>3. Épicas 2026 — Calendario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83"/>
        <w:gridCol w:w="1083"/>
        <w:gridCol w:w="1083"/>
        <w:gridCol w:w="1083"/>
        <w:gridCol w:w="1083"/>
        <w:gridCol w:w="1083"/>
        <w:gridCol w:w="1083"/>
        <w:gridCol w:w="1083"/>
        <w:gridCol w:w="1083"/>
      </w:tblGrid>
      <w:tr>
        <w:tc>
          <w:tcPr>
            <w:tcW w:type="dxa" w:w="1083"/>
            <w:shd w:val="clear" w:color="auto" w:fill="0B2545"/>
          </w:tcPr>
          <w:p>
            <w:r/>
            <w:r>
              <w:rPr>
                <w:b/>
                <w:color w:val="FFFFFF"/>
                <w:sz w:val="21"/>
              </w:rPr>
              <w:t>#</w:t>
            </w:r>
          </w:p>
        </w:tc>
        <w:tc>
          <w:tcPr>
            <w:tcW w:type="dxa" w:w="1083"/>
            <w:shd w:val="clear" w:color="auto" w:fill="0B2545"/>
          </w:tcPr>
          <w:p>
            <w:r/>
            <w:r>
              <w:rPr>
                <w:b/>
                <w:color w:val="FFFFFF"/>
                <w:sz w:val="21"/>
              </w:rPr>
              <w:t>Épica</w:t>
            </w:r>
          </w:p>
        </w:tc>
        <w:tc>
          <w:tcPr>
            <w:tcW w:type="dxa" w:w="1083"/>
            <w:shd w:val="clear" w:color="auto" w:fill="0B2545"/>
          </w:tcPr>
          <w:p>
            <w:r/>
            <w:r>
              <w:rPr>
                <w:b/>
                <w:color w:val="FFFFFF"/>
                <w:sz w:val="21"/>
              </w:rPr>
              <w:t>Pilar</w:t>
            </w:r>
          </w:p>
        </w:tc>
        <w:tc>
          <w:tcPr>
            <w:tcW w:type="dxa" w:w="1083"/>
            <w:shd w:val="clear" w:color="auto" w:fill="0B2545"/>
          </w:tcPr>
          <w:p>
            <w:r/>
            <w:r>
              <w:rPr>
                <w:b/>
                <w:color w:val="FFFFFF"/>
                <w:sz w:val="21"/>
              </w:rPr>
              <w:t>Q1 2026</w:t>
            </w:r>
          </w:p>
        </w:tc>
        <w:tc>
          <w:tcPr>
            <w:tcW w:type="dxa" w:w="1083"/>
            <w:shd w:val="clear" w:color="auto" w:fill="0B2545"/>
          </w:tcPr>
          <w:p>
            <w:r/>
            <w:r>
              <w:rPr>
                <w:b/>
                <w:color w:val="FFFFFF"/>
                <w:sz w:val="21"/>
              </w:rPr>
              <w:t>Q2 2026</w:t>
            </w:r>
          </w:p>
        </w:tc>
        <w:tc>
          <w:tcPr>
            <w:tcW w:type="dxa" w:w="1083"/>
            <w:shd w:val="clear" w:color="auto" w:fill="0B2545"/>
          </w:tcPr>
          <w:p>
            <w:r/>
            <w:r>
              <w:rPr>
                <w:b/>
                <w:color w:val="FFFFFF"/>
                <w:sz w:val="21"/>
              </w:rPr>
              <w:t>Q3 2026</w:t>
            </w:r>
          </w:p>
        </w:tc>
        <w:tc>
          <w:tcPr>
            <w:tcW w:type="dxa" w:w="1083"/>
            <w:shd w:val="clear" w:color="auto" w:fill="0B2545"/>
          </w:tcPr>
          <w:p>
            <w:r/>
            <w:r>
              <w:rPr>
                <w:b/>
                <w:color w:val="FFFFFF"/>
                <w:sz w:val="21"/>
              </w:rPr>
              <w:t>Q4 2026</w:t>
            </w:r>
          </w:p>
        </w:tc>
        <w:tc>
          <w:tcPr>
            <w:tcW w:type="dxa" w:w="1083"/>
            <w:shd w:val="clear" w:color="auto" w:fill="0B2545"/>
          </w:tcPr>
          <w:p>
            <w:r/>
            <w:r>
              <w:rPr>
                <w:b/>
                <w:color w:val="FFFFFF"/>
                <w:sz w:val="21"/>
              </w:rPr>
              <w:t>Owner</w:t>
            </w:r>
          </w:p>
        </w:tc>
        <w:tc>
          <w:tcPr>
            <w:tcW w:type="dxa" w:w="1083"/>
            <w:shd w:val="clear" w:color="auto" w:fill="0B2545"/>
          </w:tcPr>
          <w:p>
            <w:r/>
            <w:r>
              <w:rPr>
                <w:b/>
                <w:color w:val="FFFFFF"/>
                <w:sz w:val="21"/>
              </w:rPr>
              <w:t>Estado</w:t>
            </w:r>
          </w:p>
        </w:tc>
      </w:tr>
      <w:tr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1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Rediseño completo de home de la app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1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Plan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Dev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Launch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Natalia H.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🔴 Bloqueada</w:t>
            </w:r>
          </w:p>
        </w:tc>
      </w:tr>
      <w:tr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2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Onboarding digital &lt;10 min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1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Plan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Dev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Launch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Laura E.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🟡 En curso</w:t>
            </w:r>
          </w:p>
        </w:tc>
      </w:tr>
      <w:tr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3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Tarjeta de crédito sin anualidad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2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Plan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Dev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Launch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Iván R.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🟢 A tiempo</w:t>
            </w:r>
          </w:p>
        </w:tc>
      </w:tr>
      <w:tr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4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Crédito nómina 100% digital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2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Plan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Dev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Launch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Iván R.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🟢 A tiempo</w:t>
            </w:r>
          </w:p>
        </w:tc>
      </w:tr>
      <w:tr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5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Pagos por QR v2 (integración CoDi)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2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Dev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Launch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Sergio P.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🟡 En riesgo</w:t>
            </w:r>
          </w:p>
        </w:tc>
      </w:tr>
      <w:tr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6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Mejoras de performance y estabilidad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3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Continuo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Continuo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Continuo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Continuo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Miguel Á. T.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🟡 En curso</w:t>
            </w:r>
          </w:p>
        </w:tc>
      </w:tr>
      <w:tr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7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Rediseño de flujos de crédito (CAT)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3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Dev+Launch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Iván R.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🟢 Recién iniciada</w:t>
            </w:r>
          </w:p>
        </w:tc>
      </w:tr>
      <w:tr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8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Unificación de identidad entre UNs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1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Plan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Dev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Launch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Fernanda C.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🟡 En riesgo</w:t>
            </w:r>
          </w:p>
        </w:tc>
      </w:tr>
      <w:tr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9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Módulo de inversiones (CETES digitales)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2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Plan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Por asignar</w:t>
            </w:r>
          </w:p>
        </w:tc>
        <w:tc>
          <w:tcPr>
            <w:tcW w:type="dxa" w:w="1083"/>
          </w:tcPr>
          <w:p>
            <w:r>
              <w:rPr>
                <w:sz w:val="21"/>
              </w:rPr>
            </w:r>
            <w:r>
              <w:rPr>
                <w:sz w:val="21"/>
              </w:rPr>
              <w:t>⚪ No iniciada</w:t>
            </w:r>
          </w:p>
        </w:tc>
      </w:tr>
    </w:tbl>
    <w:p/>
    <w:p>
      <w:pPr>
        <w:pBdr>
          <w:bottom w:val="single" w:sz="6" w:space="1" w:color="B0B6C2"/>
        </w:pBdr>
      </w:pPr>
    </w:p>
    <w:p>
      <w:pPr>
        <w:pStyle w:val="Heading1"/>
      </w:pPr>
      <w:r>
        <w:rPr>
          <w:color w:val="0B2545"/>
        </w:rPr>
        <w:t>4. Detalle por épica</w:t>
      </w:r>
    </w:p>
    <w:p>
      <w:pPr>
        <w:pStyle w:val="Heading2"/>
      </w:pPr>
      <w:r>
        <w:rPr>
          <w:color w:val="0B2545"/>
        </w:rPr>
        <w:t>Épica 1 — Rediseño de home</w:t>
      </w:r>
    </w:p>
    <w:p>
      <w:pPr>
        <w:pStyle w:val="ListBullet"/>
      </w:pPr>
      <w:r>
        <w:rPr>
          <w:b/>
        </w:rPr>
        <w:t>Justificación:</w:t>
      </w:r>
      <w:r>
        <w:t xml:space="preserve"> la home actual tiene 4 años sin cambios. NPS de diseño: 38.</w:t>
      </w:r>
    </w:p>
    <w:p>
      <w:pPr>
        <w:pStyle w:val="ListBullet"/>
      </w:pPr>
      <w:r>
        <w:rPr>
          <w:b/>
        </w:rPr>
        <w:t>Estado:</w:t>
      </w:r>
      <w:r>
        <w:t xml:space="preserve"> DISEÑO COMPLETO. Bloqueada esperando decisión de Comité sobre presupuesto adicional (+MXN 18M).</w:t>
      </w:r>
    </w:p>
    <w:p>
      <w:pPr>
        <w:pStyle w:val="ListBullet"/>
      </w:pPr>
      <w:r>
        <w:rPr>
          <w:b/>
        </w:rPr>
        <w:t>Bloqueador:</w:t>
      </w:r>
      <w:r>
        <w:t xml:space="preserve"> debate sobre si hacer rediseño completo vs. mejoras incrementales.</w:t>
      </w:r>
    </w:p>
    <w:p>
      <w:pPr>
        <w:pStyle w:val="Heading2"/>
      </w:pPr>
      <w:r>
        <w:rPr>
          <w:color w:val="0B2545"/>
        </w:rPr>
        <w:t>Épica 2 — Onboarding &lt;10 min</w:t>
      </w:r>
    </w:p>
    <w:p>
      <w:pPr>
        <w:pStyle w:val="ListBullet"/>
      </w:pPr>
      <w:r>
        <w:t>Piloto actual: 14 minutos promedio.</w:t>
      </w:r>
    </w:p>
    <w:p>
      <w:pPr>
        <w:pStyle w:val="ListBullet"/>
      </w:pPr>
      <w:r>
        <w:t>Bottleneck: validación de domicilio (4.2 min).</w:t>
      </w:r>
    </w:p>
    <w:p>
      <w:pPr>
        <w:pStyle w:val="ListBullet"/>
      </w:pPr>
      <w:r>
        <w:t>Dependencia: épica 8 (unificación de identidad entre UNs).</w:t>
      </w:r>
    </w:p>
    <w:p>
      <w:pPr>
        <w:pStyle w:val="Heading2"/>
      </w:pPr>
      <w:r>
        <w:rPr>
          <w:color w:val="0B2545"/>
        </w:rPr>
        <w:t>Épica 3 — Tarjeta sin anualidad</w:t>
      </w:r>
    </w:p>
    <w:p>
      <w:pPr>
        <w:pStyle w:val="ListBullet"/>
      </w:pPr>
      <w:r>
        <w:rPr>
          <w:b/>
        </w:rPr>
        <w:t>Justificación:</w:t>
      </w:r>
      <w:r>
        <w:t xml:space="preserve"> producto inexistente en el portafolio. Competidores digitales han capturado 12% de participación en 6 meses por este producto.</w:t>
      </w:r>
    </w:p>
    <w:p>
      <w:pPr>
        <w:pStyle w:val="ListBullet"/>
      </w:pPr>
      <w:r>
        <w:t>Desarrollo inicia en Q2, go-live Q4.</w:t>
      </w:r>
    </w:p>
    <w:p>
      <w:pPr>
        <w:pStyle w:val="Heading2"/>
      </w:pPr>
      <w:r>
        <w:rPr>
          <w:color w:val="0B2545"/>
        </w:rPr>
        <w:t>Épica 4 — Crédito nómina digital</w:t>
      </w:r>
    </w:p>
    <w:p>
      <w:pPr>
        <w:pStyle w:val="ListBullet"/>
      </w:pPr>
      <w:r>
        <w:rPr>
          <w:b/>
        </w:rPr>
        <w:t>Justificación:</w:t>
      </w:r>
      <w:r>
        <w:t xml:space="preserve"> segmento C y D+ está migrando a competidores que cobran 8-12 puntos menos.</w:t>
      </w:r>
    </w:p>
    <w:p>
      <w:pPr>
        <w:pStyle w:val="ListBullet"/>
      </w:pPr>
      <w:r>
        <w:t>Dependencia: acuerdos con empleadores clave. Rezago en firma de convenios.</w:t>
      </w:r>
    </w:p>
    <w:p>
      <w:pPr>
        <w:pStyle w:val="Heading2"/>
      </w:pPr>
      <w:r>
        <w:rPr>
          <w:color w:val="0B2545"/>
        </w:rPr>
        <w:t>Épica 5 — Pagos por QR v2</w:t>
      </w:r>
    </w:p>
    <w:p>
      <w:pPr>
        <w:pStyle w:val="ListBullet"/>
      </w:pPr>
      <w:r>
        <w:t>4 meses de desarrollo completados.</w:t>
      </w:r>
    </w:p>
    <w:p>
      <w:pPr>
        <w:pStyle w:val="ListBullet"/>
      </w:pPr>
      <w:r>
        <w:t>Piloto planeado con 2,000 comercios en CDMX.</w:t>
      </w:r>
    </w:p>
    <w:p>
      <w:pPr>
        <w:pStyle w:val="ListBullet"/>
      </w:pPr>
      <w:r>
        <w:rPr>
          <w:b/>
        </w:rPr>
        <w:t>Riesgo identificado el 16 de abril:</w:t>
      </w:r>
      <w:r>
        <w:t xml:space="preserve"> 2 bugs críticos en integración con CoDi. Uno resuelto, uno abierto (transacciones pendientes que se cobran al día siguiente).</w:t>
      </w:r>
    </w:p>
    <w:p>
      <w:pPr>
        <w:pStyle w:val="Heading2"/>
      </w:pPr>
      <w:r>
        <w:rPr>
          <w:color w:val="0B2545"/>
        </w:rPr>
        <w:t>Épica 6 — Performance y estabilidad</w:t>
      </w:r>
    </w:p>
    <w:p>
      <w:pPr>
        <w:pStyle w:val="ListBullet"/>
      </w:pPr>
      <w:r>
        <w:rPr>
          <w:b/>
        </w:rPr>
        <w:t>Incidente del 14 de abril:</w:t>
      </w:r>
      <w:r>
        <w:t xml:space="preserve"> app caída 4h 12 min. 2.1M usuarios afectados.</w:t>
      </w:r>
    </w:p>
    <w:p>
      <w:pPr>
        <w:pStyle w:val="ListBullet"/>
      </w:pPr>
      <w:r>
        <w:t>Postmortem indica gap en CI/CD: tests de carga no eran obligatorios. Corrección en curso.</w:t>
      </w:r>
    </w:p>
    <w:p>
      <w:pPr>
        <w:pStyle w:val="Heading2"/>
      </w:pPr>
      <w:r>
        <w:rPr>
          <w:color w:val="0B2545"/>
        </w:rPr>
        <w:t>Épica 7 — Rediseño de flujos de crédito</w:t>
      </w:r>
    </w:p>
    <w:p>
      <w:pPr>
        <w:pStyle w:val="ListBullet"/>
      </w:pPr>
      <w:r>
        <w:rPr>
          <w:b/>
        </w:rPr>
        <w:t>Origen:</w:t>
      </w:r>
      <w:r>
        <w:t xml:space="preserve"> NPS Q1 señala quejas sobre transparencia de CAT.</w:t>
      </w:r>
    </w:p>
    <w:p>
      <w:pPr>
        <w:pStyle w:val="ListBullet"/>
      </w:pPr>
      <w:r>
        <w:t>Alcance: mostrar CAT en la primera pantalla de cualquier flujo de crédito.</w:t>
      </w:r>
    </w:p>
    <w:p>
      <w:pPr>
        <w:pStyle w:val="ListBullet"/>
      </w:pPr>
      <w:r>
        <w:t>Desarrollo: 2 semanas con priorización.</w:t>
      </w:r>
    </w:p>
    <w:p>
      <w:pPr>
        <w:pStyle w:val="Heading2"/>
      </w:pPr>
      <w:r>
        <w:rPr>
          <w:color w:val="0B2545"/>
        </w:rPr>
        <w:t>Épica 8 — Unificación de identidad</w:t>
      </w:r>
    </w:p>
    <w:p>
      <w:pPr>
        <w:pStyle w:val="ListBullet"/>
      </w:pPr>
      <w:r>
        <w:t>Problema: cada UN (Guardadito, Crédito Digital, Tarjeta) tiene su propio flujo de identidad.</w:t>
      </w:r>
    </w:p>
    <w:p>
      <w:pPr>
        <w:pStyle w:val="ListBullet"/>
      </w:pPr>
      <w:r>
        <w:t>Aprobado por Consejo hace 6 meses. Cada UN va a su ritmo.</w:t>
      </w:r>
    </w:p>
    <w:p>
      <w:pPr>
        <w:pStyle w:val="ListBullet"/>
      </w:pPr>
      <w:r>
        <w:rPr>
          <w:b/>
        </w:rPr>
        <w:t>Dependencia crítica para épica 2.</w:t>
      </w:r>
    </w:p>
    <w:p>
      <w:pPr>
        <w:pStyle w:val="Heading2"/>
      </w:pPr>
      <w:r>
        <w:rPr>
          <w:color w:val="0B2545"/>
        </w:rPr>
        <w:t>Épica 9 — Módulo de inversiones</w:t>
      </w:r>
    </w:p>
    <w:p>
      <w:pPr>
        <w:pStyle w:val="ListBullet"/>
      </w:pPr>
      <w:r>
        <w:t>Q4 planeación, sin owner asignado.</w:t>
      </w:r>
    </w:p>
    <w:p>
      <w:pPr>
        <w:pStyle w:val="ListBullet"/>
      </w:pPr>
      <w:r>
        <w:t>Producto aspiracional: CETES digitales con rendimiento visible.</w:t>
      </w:r>
    </w:p>
    <w:p>
      <w:pPr>
        <w:pBdr>
          <w:bottom w:val="single" w:sz="6" w:space="1" w:color="B0B6C2"/>
        </w:pBdr>
      </w:pPr>
    </w:p>
    <w:p>
      <w:pPr>
        <w:pStyle w:val="Heading1"/>
      </w:pPr>
      <w:r>
        <w:rPr>
          <w:color w:val="0B2545"/>
        </w:rPr>
        <w:t>5. Riesgos del roadmap</w:t>
      </w:r>
    </w:p>
    <w:p>
      <w:pPr>
        <w:pStyle w:val="ListNumber"/>
      </w:pPr>
      <w:r>
        <w:rPr>
          <w:b/>
        </w:rPr>
        <w:t>Épica 1 bloqueada:</w:t>
      </w:r>
      <w:r>
        <w:t xml:space="preserve"> cada mes de retraso aleja el NPS objetivo.</w:t>
      </w:r>
    </w:p>
    <w:p>
      <w:pPr>
        <w:pStyle w:val="ListNumber"/>
      </w:pPr>
      <w:r>
        <w:rPr>
          <w:b/>
        </w:rPr>
        <w:t>Épica 5 en riesgo:</w:t>
      </w:r>
      <w:r>
        <w:t xml:space="preserve"> el bug de transacciones pendientes puede forzar postergación.</w:t>
      </w:r>
    </w:p>
    <w:p>
      <w:pPr>
        <w:pStyle w:val="ListNumber"/>
      </w:pPr>
      <w:r>
        <w:rPr>
          <w:b/>
        </w:rPr>
        <w:t>Épica 8 en riesgo:</w:t>
      </w:r>
      <w:r>
        <w:t xml:space="preserve"> sin autoridad transversal, las 4 UNs no avanzan juntas. Pone en riesgo épica 2.</w:t>
      </w:r>
    </w:p>
    <w:p>
      <w:pPr>
        <w:pStyle w:val="ListNumber"/>
      </w:pPr>
      <w:r>
        <w:rPr>
          <w:b/>
        </w:rPr>
        <w:t>Épica 9 sin owner:</w:t>
      </w:r>
      <w:r>
        <w:t xml:space="preserve"> módulo de inversiones tendrá que entrar a Q1 2027 si no se asigna.</w:t>
      </w:r>
    </w:p>
    <w:p>
      <w:pPr>
        <w:pStyle w:val="ListNumber"/>
      </w:pPr>
      <w:r>
        <w:rPr>
          <w:b/>
        </w:rPr>
        <w:t>Gap detectado en postmortem del 14 de abril:</w:t>
      </w:r>
      <w:r>
        <w:t xml:space="preserve"> tests de carga insuficientes — riesgo para épicas 3, 4, 5.</w:t>
      </w:r>
    </w:p>
    <w:p>
      <w:pPr>
        <w:pStyle w:val="Heading1"/>
      </w:pPr>
      <w:r>
        <w:rPr>
          <w:color w:val="0B2545"/>
        </w:rPr>
        <w:t>6. Temas explícitamente NO incluidos en el roadmap 2026</w:t>
      </w:r>
    </w:p>
    <w:p>
      <w:pPr>
        <w:pStyle w:val="ListNumber"/>
      </w:pPr>
      <w:r>
        <w:rPr>
          <w:b/>
        </w:rPr>
        <w:t>Integración con Totalplay o TV Azteca</w:t>
      </w:r>
      <w:r>
        <w:t xml:space="preserve"> (migración cross-UN, bundles).</w:t>
      </w:r>
    </w:p>
    <w:p>
      <w:pPr>
        <w:pStyle w:val="ListNumber"/>
      </w:pPr>
      <w:r>
        <w:rPr>
          <w:b/>
        </w:rPr>
        <w:t>Rediseño de experiencia en sucursal física.</w:t>
      </w:r>
    </w:p>
    <w:p>
      <w:pPr>
        <w:pStyle w:val="ListNumber"/>
      </w:pPr>
      <w:r>
        <w:rPr>
          <w:b/>
        </w:rPr>
        <w:t>Canal de asesoría financiera humana.</w:t>
      </w:r>
    </w:p>
    <w:p>
      <w:pPr>
        <w:pStyle w:val="ListNumber"/>
      </w:pPr>
      <w:r>
        <w:rPr>
          <w:b/>
        </w:rPr>
        <w:t>Producto de seguros.</w:t>
      </w:r>
    </w:p>
    <w:p>
      <w:pPr>
        <w:pBdr>
          <w:bottom w:val="single" w:sz="6" w:space="1" w:color="B0B6C2"/>
        </w:pBdr>
      </w:pPr>
    </w:p>
    <w:p>
      <w:r>
        <w:rPr>
          <w:i/>
        </w:rPr>
        <w:t>Este roadmap se revisa cada trimestre en Comité Ejecutivo. Cambios requieren aprobación de VP + Director de Finanzas + CEO cuando afectan &gt;MXN 50M.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B2545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B2545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B2545"/>
      <w:sz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