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rPr>
          <w:color w:val="0B2545"/>
        </w:rPr>
        <w:t>Capacitación — Asesor de Crédito PDV Elektra</w:t>
      </w:r>
    </w:p>
    <w:p>
      <w:pPr>
        <w:pStyle w:val="Heading1"/>
      </w:pPr>
      <w:r>
        <w:rPr>
          <w:color w:val="0B2545"/>
        </w:rPr>
        <w:t>Material de Onboarding · Curso de 3 días</w:t>
      </w:r>
    </w:p>
    <w:p>
      <w:r>
        <w:rPr>
          <w:b/>
        </w:rPr>
        <w:t>Versión:</w:t>
      </w:r>
      <w:r>
        <w:t xml:space="preserve"> 2024-Q3 (julio 2024)</w:t>
      </w:r>
    </w:p>
    <w:p>
      <w:r>
        <w:rPr>
          <w:b/>
        </w:rPr>
        <w:t>Audiencia:</w:t>
      </w:r>
      <w:r>
        <w:t xml:space="preserve"> Asesores nuevos que se integran a sucursales Elektra</w:t>
      </w:r>
    </w:p>
    <w:p>
      <w:r>
        <w:rPr>
          <w:b/>
        </w:rPr>
        <w:t>Duración:</w:t>
      </w:r>
      <w:r>
        <w:t xml:space="preserve"> 20 horas en total, distribuidas en 3 días</w:t>
      </w:r>
    </w:p>
    <w:p>
      <w:r>
        <w:rPr>
          <w:b/>
        </w:rPr>
        <w:t>Facilitador:</w:t>
      </w:r>
      <w:r>
        <w:t xml:space="preserve"> equipo de Capacitación, Dirección de Operaciones</w:t>
      </w:r>
    </w:p>
    <w:p>
      <w:pPr>
        <w:pBdr>
          <w:bottom w:val="single" w:sz="6" w:space="1" w:color="B0B6C2"/>
        </w:pBdr>
      </w:pPr>
    </w:p>
    <w:p>
      <w:pPr>
        <w:pStyle w:val="Heading1"/>
      </w:pPr>
      <w:r>
        <w:rPr>
          <w:color w:val="0B2545"/>
        </w:rPr>
        <w:t>Día 1 — Conociendo Banco Azteca y el Crédito PDV</w:t>
      </w:r>
    </w:p>
    <w:p>
      <w:pPr>
        <w:pStyle w:val="Heading2"/>
      </w:pPr>
      <w:r>
        <w:rPr>
          <w:color w:val="0B2545"/>
        </w:rPr>
        <w:t>Sesión 1.1 — ¿Quién somos? (1 hora)</w:t>
      </w:r>
    </w:p>
    <w:p>
      <w:pPr>
        <w:pStyle w:val="ListBullet"/>
      </w:pPr>
      <w:r>
        <w:t>Banco Azteca: 19.8 millones de clientes activos.</w:t>
      </w:r>
    </w:p>
    <w:p>
      <w:pPr>
        <w:pStyle w:val="ListBullet"/>
      </w:pPr>
      <w:r>
        <w:t>1,900 sucursales dentro de tiendas Elektra.</w:t>
      </w:r>
    </w:p>
    <w:p>
      <w:pPr>
        <w:pStyle w:val="ListBullet"/>
      </w:pPr>
      <w:r>
        <w:t>Misión: llevar servicios financieros a quien antes no los tenía.</w:t>
      </w:r>
    </w:p>
    <w:p>
      <w:pPr>
        <w:pStyle w:val="ListBullet"/>
      </w:pPr>
      <w:r>
        <w:t>Nuestra gente atiende principalmente a clientes del segmento C, D+ y D.</w:t>
      </w:r>
    </w:p>
    <w:p>
      <w:pPr>
        <w:pStyle w:val="Heading2"/>
      </w:pPr>
      <w:r>
        <w:rPr>
          <w:color w:val="0B2545"/>
        </w:rPr>
        <w:t>Sesión 1.2 — ¿Qué es el Crédito al Consumo PDV? (2 horas)</w:t>
      </w:r>
    </w:p>
    <w:p>
      <w:r>
        <w:t>Crédito para comprar bienes en la propia tienda Elektra:</w:t>
      </w:r>
    </w:p>
    <w:p>
      <w:pPr>
        <w:pStyle w:val="ListBullet"/>
      </w:pPr>
      <w:r>
        <w:t>Línea blanca (refrigerador, lavadora, estufa)</w:t>
      </w:r>
    </w:p>
    <w:p>
      <w:pPr>
        <w:pStyle w:val="ListBullet"/>
      </w:pPr>
      <w:r>
        <w:t>Electrónica (TV, computadora, celular)</w:t>
      </w:r>
    </w:p>
    <w:p>
      <w:pPr>
        <w:pStyle w:val="ListBullet"/>
      </w:pPr>
      <w:r>
        <w:t>Muebles</w:t>
      </w:r>
    </w:p>
    <w:p>
      <w:pPr>
        <w:pStyle w:val="ListBullet"/>
      </w:pPr>
      <w:r>
        <w:t>Motos Italika</w:t>
      </w:r>
    </w:p>
    <w:p>
      <w:pPr>
        <w:pStyle w:val="ListBullet"/>
      </w:pPr>
      <w:r>
        <w:t>Línea café (café, tostadores, etc.)</w:t>
      </w:r>
    </w:p>
    <w:p>
      <w:r>
        <w:t>El cliente entra a comprar y sale con un plan de pagos mensuales de 12 a 24 meses.</w:t>
      </w:r>
    </w:p>
    <w:p>
      <w:pPr>
        <w:pStyle w:val="Heading2"/>
      </w:pPr>
      <w:r>
        <w:rPr>
          <w:color w:val="0B2545"/>
        </w:rPr>
        <w:t>Sesión 1.3 — Nuestra promesa (1 hora)</w:t>
      </w:r>
    </w:p>
    <w:p>
      <w:pPr>
        <w:pStyle w:val="ListBullet"/>
      </w:pPr>
      <w:r>
        <w:rPr>
          <w:b/>
        </w:rPr>
        <w:t>Transparencia:</w:t>
      </w:r>
      <w:r>
        <w:t xml:space="preserve"> el cliente sabe cuánto paga al mes y cuánto en total.</w:t>
      </w:r>
    </w:p>
    <w:p>
      <w:pPr>
        <w:pStyle w:val="ListBullet"/>
      </w:pPr>
      <w:r>
        <w:rPr>
          <w:b/>
        </w:rPr>
        <w:t>Rapidez:</w:t>
      </w:r>
      <w:r>
        <w:t xml:space="preserve"> el crédito se aprueba y entrega en menos de 1 hora.</w:t>
      </w:r>
    </w:p>
    <w:p>
      <w:pPr>
        <w:pStyle w:val="ListBullet"/>
      </w:pPr>
      <w:r>
        <w:rPr>
          <w:b/>
        </w:rPr>
        <w:t>Acompañamiento:</w:t>
      </w:r>
      <w:r>
        <w:t xml:space="preserve"> si el cliente se atrasa, Banco Azteca lo contacta con respeto.</w:t>
      </w:r>
    </w:p>
    <w:p>
      <w:pPr>
        <w:pBdr>
          <w:bottom w:val="single" w:sz="6" w:space="1" w:color="B0B6C2"/>
        </w:pBdr>
      </w:pPr>
    </w:p>
    <w:p>
      <w:pPr>
        <w:pStyle w:val="Heading1"/>
      </w:pPr>
      <w:r>
        <w:rPr>
          <w:color w:val="0B2545"/>
        </w:rPr>
        <w:t>Día 2 — El proceso operativo (día central)</w:t>
      </w:r>
    </w:p>
    <w:p>
      <w:pPr>
        <w:pStyle w:val="Heading2"/>
      </w:pPr>
      <w:r>
        <w:rPr>
          <w:color w:val="0B2545"/>
        </w:rPr>
        <w:t>Sesión 2.1 — Los 9 pasos del proceso (3 horas)</w:t>
      </w:r>
    </w:p>
    <w:p>
      <w:pPr>
        <w:pStyle w:val="ListNumber"/>
      </w:pPr>
      <w:r>
        <w:t>Recepción del cliente en el mostrador de crédito.</w:t>
      </w:r>
    </w:p>
    <w:p>
      <w:pPr>
        <w:pStyle w:val="ListNumber"/>
      </w:pPr>
      <w:r>
        <w:t>Captura inicial de datos en sistema BACE.</w:t>
      </w:r>
    </w:p>
    <w:p>
      <w:pPr>
        <w:pStyle w:val="ListNumber"/>
      </w:pPr>
      <w:r>
        <w:t>Consulta preliminar a Buró de Crédito.</w:t>
      </w:r>
    </w:p>
    <w:p>
      <w:pPr>
        <w:pStyle w:val="ListNumber"/>
      </w:pPr>
      <w:r>
        <w:t>Revisión física de los 4 documentos del cliente.</w:t>
      </w:r>
    </w:p>
    <w:p>
      <w:pPr>
        <w:pStyle w:val="ListNumber"/>
      </w:pPr>
      <w:r>
        <w:t>Cálculo de monto máximo y presentación de opciones al cliente.</w:t>
      </w:r>
    </w:p>
    <w:p>
      <w:pPr>
        <w:pStyle w:val="ListNumber"/>
      </w:pPr>
      <w:r>
        <w:t>Aprobación o escalamiento.</w:t>
      </w:r>
    </w:p>
    <w:p>
      <w:pPr>
        <w:pStyle w:val="ListNumber"/>
      </w:pPr>
      <w:r>
        <w:t>Firma del contrato.</w:t>
      </w:r>
    </w:p>
    <w:p>
      <w:pPr>
        <w:pStyle w:val="ListNumber"/>
      </w:pPr>
      <w:r>
        <w:t>Entrega del bien.</w:t>
      </w:r>
    </w:p>
    <w:p>
      <w:pPr>
        <w:pStyle w:val="ListNumber"/>
      </w:pPr>
      <w:r>
        <w:t>Alta final y cierre.</w:t>
      </w:r>
    </w:p>
    <w:p>
      <w:pPr>
        <w:pStyle w:val="Heading2"/>
      </w:pPr>
      <w:r>
        <w:rPr>
          <w:color w:val="0B2545"/>
        </w:rPr>
        <w:t>Sesión 2.2 — Los 4 documentos que siempre pedimos (2 horas)</w:t>
      </w:r>
    </w:p>
    <w:p>
      <w:pPr>
        <w:pStyle w:val="ListNumber"/>
      </w:pPr>
      <w:r>
        <w:rPr>
          <w:b/>
        </w:rPr>
        <w:t>Identificación oficial</w:t>
      </w:r>
      <w:r>
        <w:t xml:space="preserve"> (INE vigente preferentemente).</w:t>
      </w:r>
    </w:p>
    <w:p>
      <w:pPr>
        <w:pStyle w:val="ListNumber"/>
      </w:pPr>
      <w:r>
        <w:rPr>
          <w:b/>
        </w:rPr>
        <w:t>Comprobante de domicilio</w:t>
      </w:r>
      <w:r>
        <w:t xml:space="preserve"> reciente, máximo 3 meses.</w:t>
      </w:r>
    </w:p>
    <w:p>
      <w:pPr>
        <w:pStyle w:val="ListNumber"/>
      </w:pPr>
      <w:r>
        <w:rPr>
          <w:b/>
        </w:rPr>
        <w:t>Comprobante de ingresos</w:t>
      </w:r>
      <w:r>
        <w:t xml:space="preserve"> — dos recibos de nómina o 3 meses de estado de cuenta bancario.</w:t>
      </w:r>
    </w:p>
    <w:p>
      <w:pPr>
        <w:pStyle w:val="ListNumber"/>
      </w:pPr>
      <w:r>
        <w:rPr>
          <w:b/>
        </w:rPr>
        <w:t>Referencias personales</w:t>
      </w:r>
      <w:r>
        <w:t xml:space="preserve"> — mínimo 2 con teléfono.</w:t>
      </w:r>
    </w:p>
    <w:p>
      <w:r>
        <w:rPr>
          <w:b/>
        </w:rPr>
        <w:t>Importante:</w:t>
      </w:r>
      <w:r>
        <w:t xml:space="preserve"> los cuatro documentos son obligatorios. Si falta uno, el crédito NO puede originarse. No hay excepciones.</w:t>
      </w:r>
    </w:p>
    <w:p>
      <w:pPr>
        <w:pStyle w:val="Heading2"/>
      </w:pPr>
      <w:r>
        <w:rPr>
          <w:color w:val="0B2545"/>
        </w:rPr>
        <w:t>Sesión 2.3 — Los perfiles del cliente (2 horas)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249"/>
        <w:gridCol w:w="3249"/>
        <w:gridCol w:w="3249"/>
      </w:tblGrid>
      <w:tr>
        <w:tc>
          <w:tcPr>
            <w:tcW w:type="dxa" w:w="3249"/>
            <w:shd w:val="clear" w:color="auto" w:fill="0B2545"/>
          </w:tcPr>
          <w:p>
            <w:r/>
            <w:r>
              <w:rPr>
                <w:b/>
                <w:color w:val="FFFFFF"/>
                <w:sz w:val="21"/>
              </w:rPr>
              <w:t>Perfil</w:t>
            </w:r>
          </w:p>
        </w:tc>
        <w:tc>
          <w:tcPr>
            <w:tcW w:type="dxa" w:w="3249"/>
            <w:shd w:val="clear" w:color="auto" w:fill="0B2545"/>
          </w:tcPr>
          <w:p>
            <w:r/>
            <w:r>
              <w:rPr>
                <w:b/>
                <w:color w:val="FFFFFF"/>
                <w:sz w:val="21"/>
              </w:rPr>
              <w:t>Ingreso mínimo</w:t>
            </w:r>
          </w:p>
        </w:tc>
        <w:tc>
          <w:tcPr>
            <w:tcW w:type="dxa" w:w="3249"/>
            <w:shd w:val="clear" w:color="auto" w:fill="0B2545"/>
          </w:tcPr>
          <w:p>
            <w:r/>
            <w:r>
              <w:rPr>
                <w:b/>
                <w:color w:val="FFFFFF"/>
                <w:sz w:val="21"/>
              </w:rPr>
              <w:t>Antigüedad en trabajo</w:t>
            </w:r>
          </w:p>
        </w:tc>
      </w:tr>
      <w:tr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Empleado formal</w:t>
            </w:r>
          </w:p>
        </w:tc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MXN 6,500</w:t>
            </w:r>
          </w:p>
        </w:tc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6 meses</w:t>
            </w:r>
          </w:p>
        </w:tc>
      </w:tr>
      <w:tr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Empleado informal</w:t>
            </w:r>
          </w:p>
        </w:tc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MXN 7,000</w:t>
            </w:r>
          </w:p>
        </w:tc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1 año</w:t>
            </w:r>
          </w:p>
        </w:tc>
      </w:tr>
      <w:tr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Comerciante</w:t>
            </w:r>
          </w:p>
        </w:tc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MXN 8,000</w:t>
            </w:r>
          </w:p>
        </w:tc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1 año</w:t>
            </w:r>
          </w:p>
        </w:tc>
      </w:tr>
      <w:tr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Pensionado</w:t>
            </w:r>
          </w:p>
        </w:tc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MXN 5,500</w:t>
            </w:r>
          </w:p>
        </w:tc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N/A</w:t>
            </w:r>
          </w:p>
        </w:tc>
      </w:tr>
    </w:tbl>
    <w:p/>
    <w:p>
      <w:r>
        <w:rPr>
          <w:i/>
        </w:rPr>
        <w:t>Nota: revisar tabla con supervisor por si hay actualizaciones recientes.</w:t>
      </w:r>
    </w:p>
    <w:p>
      <w:pPr>
        <w:pStyle w:val="Heading2"/>
      </w:pPr>
      <w:r>
        <w:rPr>
          <w:color w:val="0B2545"/>
        </w:rPr>
        <w:t>Sesión 2.4 — Ejercicio práctico (2 horas)</w:t>
      </w:r>
    </w:p>
    <w:p>
      <w:r>
        <w:t>Role-play en grupos de 3. Uno actúa como cliente, otro como asesor, otro como observador. Se rotan los roles.</w:t>
      </w:r>
    </w:p>
    <w:p>
      <w:r>
        <w:t>Casos de práctica:</w:t>
      </w:r>
    </w:p>
    <w:p>
      <w:pPr>
        <w:pStyle w:val="ListBullet"/>
      </w:pPr>
      <w:r>
        <w:t>Cliente recurrente con buen historial</w:t>
      </w:r>
    </w:p>
    <w:p>
      <w:pPr>
        <w:pStyle w:val="ListBullet"/>
      </w:pPr>
      <w:r>
        <w:t>Cliente nuevo sin historial</w:t>
      </w:r>
    </w:p>
    <w:p>
      <w:pPr>
        <w:pStyle w:val="ListBullet"/>
      </w:pPr>
      <w:r>
        <w:t>Cliente con crédito rechazado — manejo de la comunicación</w:t>
      </w:r>
    </w:p>
    <w:p>
      <w:pPr>
        <w:pStyle w:val="ListBullet"/>
      </w:pPr>
      <w:r>
        <w:t>Cliente enojado por no calificar</w:t>
      </w:r>
    </w:p>
    <w:p>
      <w:pPr>
        <w:pBdr>
          <w:bottom w:val="single" w:sz="6" w:space="1" w:color="B0B6C2"/>
        </w:pBdr>
      </w:pPr>
    </w:p>
    <w:p>
      <w:pPr>
        <w:pStyle w:val="Heading1"/>
      </w:pPr>
      <w:r>
        <w:rPr>
          <w:color w:val="0B2545"/>
        </w:rPr>
        <w:t>Día 3 — Cumplimiento, herramientas y cierre</w:t>
      </w:r>
    </w:p>
    <w:p>
      <w:pPr>
        <w:pStyle w:val="Heading2"/>
      </w:pPr>
      <w:r>
        <w:rPr>
          <w:color w:val="0B2545"/>
        </w:rPr>
        <w:t>Sesión 3.1 — Lo que NUNCA debemos hacer (2 horas)</w:t>
      </w:r>
    </w:p>
    <w:p>
      <w:pPr>
        <w:pStyle w:val="ListNumber"/>
      </w:pPr>
      <w:r>
        <w:rPr>
          <w:b/>
        </w:rPr>
        <w:t>Nunca rellenar datos del cliente por él.</w:t>
      </w:r>
      <w:r>
        <w:t xml:space="preserve"> El cliente firma, el cliente captura. El asesor guía.</w:t>
      </w:r>
    </w:p>
    <w:p>
      <w:pPr>
        <w:pStyle w:val="ListNumber"/>
      </w:pPr>
      <w:r>
        <w:rPr>
          <w:b/>
        </w:rPr>
        <w:t>Nunca aceptar documentos falsos.</w:t>
      </w:r>
      <w:r>
        <w:t xml:space="preserve"> Si sospechas de un documento, consulta con supervisor.</w:t>
      </w:r>
    </w:p>
    <w:p>
      <w:pPr>
        <w:pStyle w:val="ListNumber"/>
      </w:pPr>
      <w:r>
        <w:rPr>
          <w:b/>
        </w:rPr>
        <w:t>Nunca aprobar sin los 4 documentos.</w:t>
      </w:r>
      <w:r>
        <w:t xml:space="preserve"> No importa qué tan recurrente sea el cliente.</w:t>
      </w:r>
    </w:p>
    <w:p>
      <w:pPr>
        <w:pStyle w:val="ListNumber"/>
      </w:pPr>
      <w:r>
        <w:rPr>
          <w:b/>
        </w:rPr>
        <w:t>Nunca prometer tasa o plazo antes de correr el sistema.</w:t>
      </w:r>
      <w:r>
        <w:t xml:space="preserve"> El sistema da el CAT oficial.</w:t>
      </w:r>
    </w:p>
    <w:p>
      <w:pPr>
        <w:pStyle w:val="ListNumber"/>
      </w:pPr>
      <w:r>
        <w:rPr>
          <w:b/>
        </w:rPr>
        <w:t>Nunca compartir credenciales de BACE con otro asesor.</w:t>
      </w:r>
      <w:r>
        <w:t xml:space="preserve"> Cada uno usa las suyas.</w:t>
      </w:r>
    </w:p>
    <w:p>
      <w:pPr>
        <w:pStyle w:val="ListNumber"/>
      </w:pPr>
      <w:r>
        <w:rPr>
          <w:b/>
        </w:rPr>
        <w:t>Nunca retener el expediente físico del cliente.</w:t>
      </w:r>
      <w:r>
        <w:t xml:space="preserve"> Entregar copia al cliente siempre.</w:t>
      </w:r>
    </w:p>
    <w:p>
      <w:pPr>
        <w:pStyle w:val="Heading2"/>
      </w:pPr>
      <w:r>
        <w:rPr>
          <w:color w:val="0B2545"/>
        </w:rPr>
        <w:t>Sesión 3.2 — Herramientas diarias (2 horas)</w:t>
      </w:r>
    </w:p>
    <w:p>
      <w:pPr>
        <w:pStyle w:val="ListBullet"/>
      </w:pPr>
      <w:r>
        <w:rPr>
          <w:b/>
        </w:rPr>
        <w:t>BACE:</w:t>
      </w:r>
      <w:r>
        <w:t xml:space="preserve"> sistema central de expedientes. Acceso con usuario y contraseña individual.</w:t>
      </w:r>
    </w:p>
    <w:p>
      <w:pPr>
        <w:pStyle w:val="ListBullet"/>
      </w:pPr>
      <w:r>
        <w:rPr>
          <w:b/>
        </w:rPr>
        <w:t>Buró de Crédito México:</w:t>
      </w:r>
      <w:r>
        <w:t xml:space="preserve"> consulta vía BACE, no directamente.</w:t>
      </w:r>
    </w:p>
    <w:p>
      <w:pPr>
        <w:pStyle w:val="ListBullet"/>
      </w:pPr>
      <w:r>
        <w:rPr>
          <w:b/>
        </w:rPr>
        <w:t>Lista OFAC:</w:t>
      </w:r>
      <w:r>
        <w:t xml:space="preserve"> validación automática, no requiere intervención del asesor.</w:t>
      </w:r>
    </w:p>
    <w:p>
      <w:pPr>
        <w:pStyle w:val="ListBullet"/>
      </w:pPr>
      <w:r>
        <w:rPr>
          <w:b/>
        </w:rPr>
        <w:t>Sistema de contratos:</w:t>
      </w:r>
      <w:r>
        <w:t xml:space="preserve"> imprime duplicado, uno al cliente, uno al archivo físico.</w:t>
      </w:r>
    </w:p>
    <w:p>
      <w:pPr>
        <w:pStyle w:val="Heading2"/>
      </w:pPr>
      <w:r>
        <w:rPr>
          <w:color w:val="0B2545"/>
        </w:rPr>
        <w:t>Sesión 3.3 — Montos de autorización (1 hora)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  <w:shd w:val="clear" w:color="auto" w:fill="0B2545"/>
          </w:tcPr>
          <w:p>
            <w:r/>
            <w:r>
              <w:rPr>
                <w:b/>
                <w:color w:val="FFFFFF"/>
                <w:sz w:val="21"/>
              </w:rPr>
              <w:t>Monto</w:t>
            </w:r>
          </w:p>
        </w:tc>
        <w:tc>
          <w:tcPr>
            <w:tcW w:type="dxa" w:w="4873"/>
            <w:shd w:val="clear" w:color="auto" w:fill="0B2545"/>
          </w:tcPr>
          <w:p>
            <w:r/>
            <w:r>
              <w:rPr>
                <w:b/>
                <w:color w:val="FFFFFF"/>
                <w:sz w:val="21"/>
              </w:rPr>
              <w:t>Autoriza</w:t>
            </w:r>
          </w:p>
        </w:tc>
      </w:tr>
      <w:tr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Hasta MXN 12,000</w:t>
            </w:r>
          </w:p>
        </w:tc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Asesor de crédito (tú)</w:t>
            </w:r>
          </w:p>
        </w:tc>
      </w:tr>
      <w:tr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MXN 12,001 – 35,000</w:t>
            </w:r>
          </w:p>
        </w:tc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Supervisor de sucursal</w:t>
            </w:r>
          </w:p>
        </w:tc>
      </w:tr>
      <w:tr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MXN 35,001 – 75,000</w:t>
            </w:r>
          </w:p>
        </w:tc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Gerente de Zona</w:t>
            </w:r>
          </w:p>
        </w:tc>
      </w:tr>
      <w:tr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Más de MXN 75,000</w:t>
            </w:r>
          </w:p>
        </w:tc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Riesgo Corporativo</w:t>
            </w:r>
          </w:p>
        </w:tc>
      </w:tr>
    </w:tbl>
    <w:p/>
    <w:p>
      <w:pPr>
        <w:pStyle w:val="Heading2"/>
      </w:pPr>
      <w:r>
        <w:rPr>
          <w:color w:val="0B2545"/>
        </w:rPr>
        <w:t>Sesión 3.4 — ¿Qué hago si...? (2 horas)</w:t>
      </w:r>
    </w:p>
    <w:p>
      <w:r>
        <w:rPr>
          <w:b/>
        </w:rPr>
        <w:t>¿Qué hago si el cliente se queja de la tasa?</w:t>
      </w:r>
      <w:r>
        <w:t xml:space="preserve"> Le explicas que la tasa refleja su perfil y que Banco Azteca ofrece plazos flexibles para que el pago mensual sea manejable. Muestras ejemplo con calculadora.</w:t>
      </w:r>
    </w:p>
    <w:p>
      <w:r>
        <w:rPr>
          <w:b/>
        </w:rPr>
        <w:t>¿Qué hago si BACE se cae durante la sesión?</w:t>
      </w:r>
      <w:r>
        <w:t xml:space="preserve"> Le pides al cliente que regrese o lo llevas a otra sucursal cercana. NO hay proceso manual.</w:t>
      </w:r>
    </w:p>
    <w:p>
      <w:r>
        <w:rPr>
          <w:b/>
        </w:rPr>
        <w:t>¿Qué hago si el cliente no trae uno de los 4 documentos?</w:t>
      </w:r>
      <w:r>
        <w:t xml:space="preserve"> Le explicas qué documento falta y le pides que regrese cuando lo tenga. El crédito no se puede originar sin los 4.</w:t>
      </w:r>
    </w:p>
    <w:p>
      <w:r>
        <w:rPr>
          <w:b/>
        </w:rPr>
        <w:t>¿Qué hago si el cliente es familia de un compañero?</w:t>
      </w:r>
      <w:r>
        <w:t xml:space="preserve"> Tú mismo lo atiendes con normalidad. No hay conflicto de interés por ser asesor.</w:t>
      </w:r>
    </w:p>
    <w:p>
      <w:r>
        <w:rPr>
          <w:b/>
        </w:rPr>
        <w:t>¿Qué hago si tengo dudas sobre un documento?</w:t>
      </w:r>
      <w:r>
        <w:t xml:space="preserve"> Consulta con tu supervisor inmediato. No adivines.</w:t>
      </w:r>
    </w:p>
    <w:p>
      <w:pPr>
        <w:pStyle w:val="Heading2"/>
      </w:pPr>
      <w:r>
        <w:rPr>
          <w:color w:val="0B2545"/>
        </w:rPr>
        <w:t>Sesión 3.5 — Evaluación final (1 hora)</w:t>
      </w:r>
    </w:p>
    <w:p>
      <w:r>
        <w:t>Examen de 30 preguntas de opción múltiple. Aprobación con 80% mínimo. Quien repruebe toma curso nuevamente antes de atender clientes solos.</w:t>
      </w:r>
    </w:p>
    <w:p>
      <w:pPr>
        <w:pBdr>
          <w:bottom w:val="single" w:sz="6" w:space="1" w:color="B0B6C2"/>
        </w:pBdr>
      </w:pPr>
    </w:p>
    <w:p>
      <w:pPr>
        <w:pStyle w:val="Heading1"/>
      </w:pPr>
      <w:r>
        <w:rPr>
          <w:color w:val="0B2545"/>
        </w:rPr>
        <w:t>Recursos de referencia (para consulta posterior)</w:t>
      </w:r>
    </w:p>
    <w:p>
      <w:pPr>
        <w:pStyle w:val="ListBullet"/>
      </w:pPr>
      <w:r>
        <w:rPr>
          <w:b/>
        </w:rPr>
        <w:t>Manual completo:</w:t>
      </w:r>
      <w:r>
        <w:t xml:space="preserve"> disponible en la intranet en la sección "Documentos Operativos" &gt; "Crédito PDV".</w:t>
      </w:r>
    </w:p>
    <w:p>
      <w:pPr>
        <w:pStyle w:val="ListBullet"/>
      </w:pPr>
      <w:r>
        <w:rPr>
          <w:b/>
        </w:rPr>
        <w:t>Supervisor de tu sucursal:</w:t>
      </w:r>
      <w:r>
        <w:t xml:space="preserve"> primera línea de consulta en el día a día.</w:t>
      </w:r>
    </w:p>
    <w:p>
      <w:pPr>
        <w:pStyle w:val="ListBullet"/>
      </w:pPr>
      <w:r>
        <w:rPr>
          <w:b/>
        </w:rPr>
        <w:t>Mesa de ayuda BACE:</w:t>
      </w:r>
      <w:r>
        <w:t xml:space="preserve"> extensión 4500 para problemas técnicos.</w:t>
      </w:r>
    </w:p>
    <w:p>
      <w:pPr>
        <w:pStyle w:val="ListBullet"/>
      </w:pPr>
      <w:r>
        <w:rPr>
          <w:b/>
        </w:rPr>
        <w:t>Compliance:</w:t>
      </w:r>
      <w:r>
        <w:t xml:space="preserve"> laura.pacheco@bancoazteca.com.mx para dudas regulatorias.</w:t>
      </w:r>
    </w:p>
    <w:p>
      <w:pPr>
        <w:pBdr>
          <w:bottom w:val="single" w:sz="6" w:space="1" w:color="B0B6C2"/>
        </w:pBdr>
      </w:pPr>
    </w:p>
    <w:p>
      <w:r>
        <w:rPr>
          <w:b/>
        </w:rPr>
        <w:t>Certificación al completar el curso:</w:t>
      </w:r>
      <w:r>
        <w:t xml:space="preserve"> Al terminar los 3 días y aprobar la evaluación, recibes certificado interno "Asesor Certificado PDV Elektra" con vigencia anual. Debes renovarlo con un curso de actualización cada año.</w:t>
      </w:r>
    </w:p>
    <w:p>
      <w:pPr>
        <w:pBdr>
          <w:bottom w:val="single" w:sz="6" w:space="1" w:color="B0B6C2"/>
        </w:pBdr>
      </w:pPr>
    </w:p>
    <w:p>
      <w:r>
        <w:rPr>
          <w:i/>
        </w:rPr>
        <w:t>Material elaborado por la Dirección de Capacitación en coordinación con Operaciones y Compliance.</w:t>
      </w:r>
    </w:p>
    <w:p>
      <w:r>
        <w:rPr>
          <w:i/>
        </w:rPr>
        <w:t>Próxima revisión prevista: diciembre 2024.</w:t>
      </w:r>
    </w:p>
    <w:p>
      <w:r>
        <w:rPr>
          <w:i/>
        </w:rPr>
        <w:t>Responsable: Mariana Zepeda, Jefa de Capacitación Banco Azteca.</w:t>
      </w:r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B2545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B2545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B2545"/>
      <w:sz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