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rPr>
          <w:color w:val="0B2545"/>
        </w:rPr>
        <w:t>Correos — Compliance Q1 2026</w:t>
      </w:r>
    </w:p>
    <w:p>
      <w:pPr>
        <w:pStyle w:val="Heading1"/>
      </w:pPr>
      <w:r>
        <w:rPr>
          <w:color w:val="0B2545"/>
        </w:rPr>
        <w:t>Ajustes al Proceso de Originación PDV Elektra</w:t>
      </w:r>
    </w:p>
    <w:p>
      <w:r>
        <w:rPr>
          <w:b/>
        </w:rPr>
        <w:t>Recopilación de correos recientes del área de Compliance de Banco Azteca.</w:t>
      </w:r>
    </w:p>
    <w:p>
      <w:r>
        <w:rPr>
          <w:b/>
        </w:rPr>
        <w:t>Distribución:</w:t>
      </w:r>
      <w:r>
        <w:t xml:space="preserve"> Supervisores de Sucursal y Gerentes de Zona.</w:t>
      </w:r>
    </w:p>
    <w:p>
      <w:r>
        <w:rPr>
          <w:b/>
        </w:rPr>
        <w:t>NOTA:</w:t>
      </w:r>
      <w:r>
        <w:t xml:space="preserve"> Esta recopilación no ha sido incorporada al manual formal. Es la versión vigente de facto.</w:t>
      </w:r>
    </w:p>
    <w:p>
      <w:pPr>
        <w:pBdr>
          <w:bottom w:val="single" w:sz="6" w:space="1" w:color="B0B6C2"/>
        </w:pBdr>
      </w:pPr>
    </w:p>
    <w:p>
      <w:pPr>
        <w:pStyle w:val="Heading1"/>
      </w:pPr>
      <w:r>
        <w:rPr>
          <w:color w:val="0B2545"/>
        </w:rPr>
        <w:t>Correo 1 — 14 de febrero 2026</w:t>
      </w:r>
    </w:p>
    <w:p>
      <w:r>
        <w:rPr>
          <w:b/>
        </w:rPr>
        <w:t>De:</w:t>
      </w:r>
      <w:r>
        <w:t xml:space="preserve"> Laura Pacheco &lt;laura.pacheco@bancoazteca.com.mx&gt;</w:t>
      </w:r>
    </w:p>
    <w:p>
      <w:r>
        <w:rPr>
          <w:b/>
        </w:rPr>
        <w:t>Para:</w:t>
      </w:r>
      <w:r>
        <w:t xml:space="preserve"> Distribución Supervisores Elektra</w:t>
      </w:r>
    </w:p>
    <w:p>
      <w:r>
        <w:rPr>
          <w:b/>
        </w:rPr>
        <w:t>Asunto:</w:t>
      </w:r>
      <w:r>
        <w:t xml:space="preserve"> URGENTE — Ajuste al ingreso mínimo por requerimiento CNBV</w:t>
      </w:r>
    </w:p>
    <w:p>
      <w:r>
        <w:t>Estimados supervisores,</w:t>
      </w:r>
    </w:p>
    <w:p>
      <w:r>
        <w:t xml:space="preserve">A partir de mañana 15 de febrero, ajustamos el </w:t>
      </w:r>
      <w:r>
        <w:rPr>
          <w:b/>
        </w:rPr>
        <w:t>ingreso mínimo comprobable</w:t>
      </w:r>
      <w:r>
        <w:t xml:space="preserve"> para originación de crédito al consumo en PDV Elektra a </w:t>
      </w:r>
      <w:r>
        <w:rPr>
          <w:b/>
        </w:rPr>
        <w:t>MXN 8,200</w:t>
      </w:r>
      <w:r>
        <w:t>.</w:t>
      </w:r>
    </w:p>
    <w:p>
      <w:r>
        <w:t>Razones:</w:t>
      </w:r>
    </w:p>
    <w:p>
      <w:pPr>
        <w:pStyle w:val="ListNumber"/>
      </w:pPr>
      <w:r>
        <w:t>CNBV publicó la semana pasada el oficio DGSB/157/2026 donde recomienda a bancos múltiples revisar los criterios de capacidad de pago en segmentos C y D tras el incremento de inflación en canasta básica.</w:t>
      </w:r>
    </w:p>
    <w:p>
      <w:pPr>
        <w:pStyle w:val="ListNumber"/>
      </w:pPr>
      <w:r>
        <w:t>Internamente, nuestra morosidad PDV pasó de 4.6% (cierre 2024) a 4.8% en Q4 2025 — y el 78% del deterioro viene de clientes con ingreso declarado entre 6,500 y 8,000.</w:t>
      </w:r>
    </w:p>
    <w:p>
      <w:pPr>
        <w:pStyle w:val="ListNumber"/>
      </w:pPr>
      <w:r>
        <w:t>Ajuste preventivo, no correctivo.</w:t>
      </w:r>
    </w:p>
    <w:p>
      <w:r>
        <w:rPr>
          <w:b/>
        </w:rPr>
        <w:t>Acción requerida hoy:</w:t>
      </w:r>
    </w:p>
    <w:p>
      <w:pPr>
        <w:pStyle w:val="ListBullet"/>
      </w:pPr>
      <w:r>
        <w:t>Parametrizar BACE para rechazar automáticamente solicitudes con ingreso comprobable menor a MXN 8,200 — a partir del 15 de febrero.</w:t>
      </w:r>
    </w:p>
    <w:p>
      <w:pPr>
        <w:pStyle w:val="ListBullet"/>
      </w:pPr>
      <w:r>
        <w:t>Comunicar al equipo de asesores en cada sucursal.</w:t>
      </w:r>
    </w:p>
    <w:p>
      <w:pPr>
        <w:pStyle w:val="ListBullet"/>
      </w:pPr>
      <w:r>
        <w:t>Responder a este correo confirmando la comunicación antes del viernes 16.</w:t>
      </w:r>
    </w:p>
    <w:p>
      <w:r>
        <w:t xml:space="preserve">Este cambio </w:t>
      </w:r>
      <w:r>
        <w:rPr>
          <w:b/>
        </w:rPr>
        <w:t>no requiere modificación del manual formal</w:t>
      </w:r>
      <w:r>
        <w:t xml:space="preserve"> porque es un ajuste paramétrico.</w:t>
      </w:r>
    </w:p>
    <w:p>
      <w:r>
        <w:t>Saludos, Laura Pacheco Directora de Compliance Banco Azteca</w:t>
      </w:r>
    </w:p>
    <w:p>
      <w:pPr>
        <w:pBdr>
          <w:bottom w:val="single" w:sz="6" w:space="1" w:color="B0B6C2"/>
        </w:pBdr>
      </w:pPr>
    </w:p>
    <w:p>
      <w:pPr>
        <w:pStyle w:val="Heading1"/>
      </w:pPr>
      <w:r>
        <w:rPr>
          <w:color w:val="0B2545"/>
        </w:rPr>
        <w:t>Correo 2 — 3 de marzo 2026</w:t>
      </w:r>
    </w:p>
    <w:p>
      <w:r>
        <w:rPr>
          <w:b/>
        </w:rPr>
        <w:t>De:</w:t>
      </w:r>
      <w:r>
        <w:t xml:space="preserve"> Laura Pacheco</w:t>
      </w:r>
    </w:p>
    <w:p>
      <w:r>
        <w:rPr>
          <w:b/>
        </w:rPr>
        <w:t>Para:</w:t>
      </w:r>
      <w:r>
        <w:t xml:space="preserve"> Distribución Supervisores Elektra</w:t>
      </w:r>
    </w:p>
    <w:p>
      <w:r>
        <w:rPr>
          <w:b/>
        </w:rPr>
        <w:t>CC:</w:t>
      </w:r>
      <w:r>
        <w:t xml:space="preserve"> Eduardo Salazar, Directores de Zona</w:t>
      </w:r>
    </w:p>
    <w:p>
      <w:r>
        <w:rPr>
          <w:b/>
        </w:rPr>
        <w:t>Asunto:</w:t>
      </w:r>
      <w:r>
        <w:t xml:space="preserve"> Aclaración sobre plazo máximo en crédito para motos</w:t>
      </w:r>
    </w:p>
    <w:p>
      <w:r>
        <w:t>Estimados,</w:t>
      </w:r>
    </w:p>
    <w:p>
      <w:r>
        <w:t>He recibido varias consultas sobre el plazo máximo para créditos de moto Italika cuando se originan en tienda Elektra. Aclaro:</w:t>
      </w:r>
    </w:p>
    <w:p>
      <w:pPr>
        <w:pStyle w:val="ListBullet"/>
      </w:pPr>
      <w:r>
        <w:rPr>
          <w:b/>
        </w:rPr>
        <w:t>El plazo máximo para moto es 36 meses</w:t>
      </w:r>
      <w:r>
        <w:t>, no 48 como se ha estado aplicando en algunas zonas.</w:t>
      </w:r>
    </w:p>
    <w:p>
      <w:pPr>
        <w:pStyle w:val="ListBullet"/>
      </w:pPr>
      <w:r>
        <w:t xml:space="preserve">Los 48 meses </w:t>
      </w:r>
      <w:r>
        <w:rPr>
          <w:b/>
        </w:rPr>
        <w:t>solo aplican</w:t>
      </w:r>
      <w:r>
        <w:t xml:space="preserve"> en el producto dedicado "Crédito Moto Largo Plazo" que se origina con formulario especial ZD-MLP, no en PDV estándar.</w:t>
      </w:r>
    </w:p>
    <w:p>
      <w:pPr>
        <w:pStyle w:val="ListBullet"/>
      </w:pPr>
      <w:r>
        <w:t>Si detectan expedientes originados con 48 meses en formulario PDV estándar desde enero, les pedimos reportar a Compliance para análisis.</w:t>
      </w:r>
    </w:p>
    <w:p>
      <w:r>
        <w:t>Este es un tema recurrente de auditoría interna. Favor de asegurarse que todos los asesores en su sucursal entienden la distinción.</w:t>
      </w:r>
    </w:p>
    <w:p>
      <w:r>
        <w:t>Gracias por la atención, Laura</w:t>
      </w:r>
    </w:p>
    <w:p>
      <w:pPr>
        <w:pBdr>
          <w:bottom w:val="single" w:sz="6" w:space="1" w:color="B0B6C2"/>
        </w:pBdr>
      </w:pPr>
    </w:p>
    <w:p>
      <w:pPr>
        <w:pStyle w:val="Heading1"/>
      </w:pPr>
      <w:r>
        <w:rPr>
          <w:color w:val="0B2545"/>
        </w:rPr>
        <w:t>Correo 3 — 18 de marzo 2026</w:t>
      </w:r>
    </w:p>
    <w:p>
      <w:r>
        <w:rPr>
          <w:b/>
        </w:rPr>
        <w:t>De:</w:t>
      </w:r>
      <w:r>
        <w:t xml:space="preserve"> Eduardo Salazar &lt;eduardo.salazar@bancoazteca.com.mx&gt;</w:t>
      </w:r>
    </w:p>
    <w:p>
      <w:r>
        <w:rPr>
          <w:b/>
        </w:rPr>
        <w:t>Para:</w:t>
      </w:r>
      <w:r>
        <w:t xml:space="preserve"> Distribución Gerentes de Zona</w:t>
      </w:r>
    </w:p>
    <w:p>
      <w:r>
        <w:rPr>
          <w:b/>
        </w:rPr>
        <w:t>Asunto:</w:t>
      </w:r>
      <w:r>
        <w:t xml:space="preserve"> Nuevo umbral de escalamiento — sin cambio en manual todavía</w:t>
      </w:r>
    </w:p>
    <w:p>
      <w:r>
        <w:t>Gerentes,</w:t>
      </w:r>
    </w:p>
    <w:p>
      <w:r>
        <w:t xml:space="preserve">Les informo que a partir del 1 de abril, el umbral de autorización directa del asesor de crédito sube de </w:t>
      </w:r>
      <w:r>
        <w:rPr>
          <w:b/>
        </w:rPr>
        <w:t>MXN 18,000 a MXN 25,000</w:t>
      </w:r>
      <w:r>
        <w:t>.</w:t>
      </w:r>
    </w:p>
    <w:p>
      <w:r>
        <w:t>Justificación:</w:t>
      </w:r>
    </w:p>
    <w:p>
      <w:pPr>
        <w:pStyle w:val="ListBullet"/>
      </w:pPr>
      <w:r>
        <w:t>Nuestra data muestra que la morosidad en crédito PDV &lt;25,000 es más baja que en el rango 25,000-40,000 (3.9% vs 5.2%).</w:t>
      </w:r>
    </w:p>
    <w:p>
      <w:pPr>
        <w:pStyle w:val="ListBullet"/>
      </w:pPr>
      <w:r>
        <w:t>Los asesores en zonas de alta demanda pierden ventas porque tienen que escalar a supervisor montos menores a 25,000.</w:t>
      </w:r>
    </w:p>
    <w:p>
      <w:pPr>
        <w:pStyle w:val="ListBullet"/>
      </w:pPr>
      <w:r>
        <w:t>Los nuevos umbrales son:</w:t>
      </w:r>
    </w:p>
    <w:p>
      <w:pPr>
        <w:pStyle w:val="ListBullet"/>
      </w:pPr>
      <w:r>
        <w:rPr>
          <w:b/>
        </w:rPr>
        <w:t>Hasta MXN 25,000</w:t>
      </w:r>
      <w:r>
        <w:t xml:space="preserve"> — asesor de crédito (antes 18,000).</w:t>
      </w:r>
    </w:p>
    <w:p>
      <w:pPr>
        <w:pStyle w:val="ListBullet"/>
      </w:pPr>
      <w:r>
        <w:rPr>
          <w:b/>
        </w:rPr>
        <w:t>MXN 25,001 a MXN 50,000</w:t>
      </w:r>
      <w:r>
        <w:t xml:space="preserve"> — supervisor de sucursal (antes 18,001 a 40,000).</w:t>
      </w:r>
    </w:p>
    <w:p>
      <w:pPr>
        <w:pStyle w:val="ListBullet"/>
      </w:pPr>
      <w:r>
        <w:rPr>
          <w:b/>
        </w:rPr>
        <w:t>MXN 50,001 a MXN 100,000</w:t>
      </w:r>
      <w:r>
        <w:t xml:space="preserve"> — gerente de zona (antes 40,001 a 80,000).</w:t>
      </w:r>
    </w:p>
    <w:p>
      <w:pPr>
        <w:pStyle w:val="ListBullet"/>
      </w:pPr>
      <w:r>
        <w:rPr>
          <w:b/>
        </w:rPr>
        <w:t>Más de MXN 100,000</w:t>
      </w:r>
      <w:r>
        <w:t xml:space="preserve"> — Riesgo Corporativo.</w:t>
      </w:r>
    </w:p>
    <w:p>
      <w:r>
        <w:t>El manual formal se actualizará en la siguiente revisión anual. Por lo pronto, usar este correo como referencia.</w:t>
      </w:r>
    </w:p>
    <w:p>
      <w:r>
        <w:t>Eduardo Salazar Dir. Operaciones Banco Azteca</w:t>
      </w:r>
    </w:p>
    <w:p>
      <w:pPr>
        <w:pBdr>
          <w:bottom w:val="single" w:sz="6" w:space="1" w:color="B0B6C2"/>
        </w:pBdr>
      </w:pPr>
    </w:p>
    <w:p>
      <w:pPr>
        <w:pStyle w:val="Heading1"/>
      </w:pPr>
      <w:r>
        <w:rPr>
          <w:color w:val="0B2545"/>
        </w:rPr>
        <w:t>Correo 4 — 8 de abril 2026</w:t>
      </w:r>
    </w:p>
    <w:p>
      <w:r>
        <w:rPr>
          <w:b/>
        </w:rPr>
        <w:t>De:</w:t>
      </w:r>
      <w:r>
        <w:t xml:space="preserve"> Laura Pacheco</w:t>
      </w:r>
    </w:p>
    <w:p>
      <w:r>
        <w:rPr>
          <w:b/>
        </w:rPr>
        <w:t>Para:</w:t>
      </w:r>
      <w:r>
        <w:t xml:space="preserve"> Eduardo Salazar</w:t>
      </w:r>
    </w:p>
    <w:p>
      <w:r>
        <w:rPr>
          <w:b/>
        </w:rPr>
        <w:t>CC:</w:t>
      </w:r>
      <w:r>
        <w:t xml:space="preserve"> Director Jurídico, Director Riesgo Corporativo</w:t>
      </w:r>
    </w:p>
    <w:p>
      <w:r>
        <w:rPr>
          <w:b/>
        </w:rPr>
        <w:t>Asunto:</w:t>
      </w:r>
      <w:r>
        <w:t xml:space="preserve"> RE: RE: Observación de auditoría interna — destrucción de documentación vencida</w:t>
      </w:r>
    </w:p>
    <w:p>
      <w:r>
        <w:t>Eduardo,</w:t>
      </w:r>
    </w:p>
    <w:p>
      <w:r>
        <w:t>Siguiendo tu correo anterior sobre la observación, aclaro y formalizo:</w:t>
      </w:r>
    </w:p>
    <w:p>
      <w:r>
        <w:rPr>
          <w:b/>
        </w:rPr>
        <w:t>Situación:</w:t>
      </w:r>
      <w:r>
        <w:t xml:space="preserve"> Auditoría interna detectó que 3 sucursales (Mérida, León y Tuxtla) han estado reteniendo documentación física de clientes por </w:t>
      </w:r>
      <w:r>
        <w:rPr>
          <w:b/>
        </w:rPr>
        <w:t>más de 8 años</w:t>
      </w:r>
      <w:r>
        <w:t>. La política es 6 años máximo post-cierre del crédito.</w:t>
      </w:r>
    </w:p>
    <w:p>
      <w:r>
        <w:rPr>
          <w:b/>
        </w:rPr>
        <w:t>Impacto regulatorio:</w:t>
      </w:r>
      <w:r>
        <w:t xml:space="preserve"> según LFPDPPP (Ley Federal de Protección de Datos Personales en Posesión de los Particulares) y su reglamento, retener datos más allá del periodo necesario puede generar sanciones de hasta 3,200 UMAs (~MXN 345,000).</w:t>
      </w:r>
    </w:p>
    <w:p>
      <w:r>
        <w:rPr>
          <w:b/>
        </w:rPr>
        <w:t>Acción inmediata:</w:t>
      </w:r>
    </w:p>
    <w:p>
      <w:pPr>
        <w:pStyle w:val="ListNumber"/>
      </w:pPr>
      <w:r>
        <w:t>Todas las sucursales deben auditar su archivo físico antes del 30 de abril.</w:t>
      </w:r>
    </w:p>
    <w:p>
      <w:pPr>
        <w:pStyle w:val="ListNumber"/>
      </w:pPr>
      <w:r>
        <w:t>Expedientes de créditos cerrados con antigüedad &gt; 6 años deben ir a destrucción certificada (proveedor homologado).</w:t>
      </w:r>
    </w:p>
    <w:p>
      <w:pPr>
        <w:pStyle w:val="ListNumber"/>
      </w:pPr>
      <w:r>
        <w:t>Se requiere acta firmada por el gerente de sucursal + evidencia de la destrucción (certificado del proveedor + foto).</w:t>
      </w:r>
    </w:p>
    <w:p>
      <w:pPr>
        <w:pStyle w:val="ListNumber"/>
      </w:pPr>
      <w:r>
        <w:t>Reportar cumplimiento a Compliance antes del 5 de mayo.</w:t>
      </w:r>
    </w:p>
    <w:p>
      <w:r>
        <w:rPr>
          <w:b/>
        </w:rPr>
        <w:t>Problema crítico que debe resolverse:</w:t>
      </w:r>
      <w:r>
        <w:t xml:space="preserve"> No tenemos un procedimiento operativo estándar escrito sobre destrucción de documentación vencida. Los gerentes lo han estado haciendo por costumbre, no por manual. Esto es un hallazgo que apareció en la auditoría previa de CNBV (nov-2025) y </w:t>
      </w:r>
      <w:r>
        <w:rPr>
          <w:b/>
        </w:rPr>
        <w:t>NO se resolvió</w:t>
      </w:r>
      <w:r>
        <w:t>. Se convertiría en observación regulatoria formal si no lo formalizamos antes de la próxima revisión.</w:t>
      </w:r>
    </w:p>
    <w:p>
      <w:r>
        <w:t>Necesitamos urgente: procedimiento escrito, matriz de responsables, frecuencia, y registros requeridos. Propongo reunión el jueves.</w:t>
      </w:r>
    </w:p>
    <w:p>
      <w:r>
        <w:t>Laura</w:t>
      </w:r>
    </w:p>
    <w:p>
      <w:pPr>
        <w:pBdr>
          <w:bottom w:val="single" w:sz="6" w:space="1" w:color="B0B6C2"/>
        </w:pBdr>
      </w:pPr>
    </w:p>
    <w:p>
      <w:pPr>
        <w:pStyle w:val="Heading1"/>
      </w:pPr>
      <w:r>
        <w:rPr>
          <w:color w:val="0B2545"/>
        </w:rPr>
        <w:t>Correo 5 — 22 de abril 2026</w:t>
      </w:r>
    </w:p>
    <w:p>
      <w:r>
        <w:rPr>
          <w:b/>
        </w:rPr>
        <w:t>De:</w:t>
      </w:r>
      <w:r>
        <w:t xml:space="preserve"> Laura Pacheco</w:t>
      </w:r>
    </w:p>
    <w:p>
      <w:r>
        <w:rPr>
          <w:b/>
        </w:rPr>
        <w:t>Para:</w:t>
      </w:r>
      <w:r>
        <w:t xml:space="preserve"> Distribución Supervisores Elektra</w:t>
      </w:r>
    </w:p>
    <w:p>
      <w:r>
        <w:rPr>
          <w:b/>
        </w:rPr>
        <w:t>Asunto:</w:t>
      </w:r>
      <w:r>
        <w:t xml:space="preserve"> Recordatorio — auditoría CNBV en 30 días</w:t>
      </w:r>
    </w:p>
    <w:p>
      <w:r>
        <w:t>Estimados,</w:t>
      </w:r>
    </w:p>
    <w:p>
      <w:r>
        <w:t xml:space="preserve">Confirmamos que la próxima revisión regulatoria de CNBV al proceso de originación de crédito PDV Elektra inicia en </w:t>
      </w:r>
      <w:r>
        <w:rPr>
          <w:b/>
        </w:rPr>
        <w:t>30 días</w:t>
      </w:r>
      <w:r>
        <w:t xml:space="preserve"> (semana del 22 de mayo de 2026).</w:t>
      </w:r>
    </w:p>
    <w:p>
      <w:r>
        <w:t xml:space="preserve">Lo que el auditor </w:t>
      </w:r>
      <w:r>
        <w:rPr>
          <w:b/>
        </w:rPr>
        <w:t>va a pedir con certeza</w:t>
      </w:r>
      <w:r>
        <w:t>:</w:t>
      </w:r>
    </w:p>
    <w:p>
      <w:pPr>
        <w:pStyle w:val="ListNumber"/>
      </w:pPr>
      <w:r>
        <w:t>Manual de procedimientos vigente (firmado, fechado, con versión).</w:t>
      </w:r>
    </w:p>
    <w:p>
      <w:pPr>
        <w:pStyle w:val="ListNumber"/>
      </w:pPr>
      <w:r>
        <w:t>Matriz de controles aplicada al proceso.</w:t>
      </w:r>
    </w:p>
    <w:p>
      <w:pPr>
        <w:pStyle w:val="ListNumber"/>
      </w:pPr>
      <w:r>
        <w:t>Muestra aleatoria de 50 expedientes de crédito originados en los últimos 90 días.</w:t>
      </w:r>
    </w:p>
    <w:p>
      <w:pPr>
        <w:pStyle w:val="ListNumber"/>
      </w:pPr>
      <w:r>
        <w:t>Evidencia de capacitación a asesores en el proceso actual.</w:t>
      </w:r>
    </w:p>
    <w:p>
      <w:pPr>
        <w:pStyle w:val="ListNumber"/>
      </w:pPr>
      <w:r>
        <w:t>Evidencia de revisión/validación biométrica en los expedientes.</w:t>
      </w:r>
    </w:p>
    <w:p>
      <w:pPr>
        <w:pStyle w:val="ListNumber"/>
      </w:pPr>
      <w:r>
        <w:t>Evidencia de que el CAT fue explicado al cliente en cada expediente.</w:t>
      </w:r>
    </w:p>
    <w:p>
      <w:pPr>
        <w:pStyle w:val="ListNumber"/>
      </w:pPr>
      <w:r>
        <w:t xml:space="preserve">Procedimiento de destrucción de documentación vencida — </w:t>
      </w:r>
      <w:r>
        <w:rPr>
          <w:b/>
        </w:rPr>
        <w:t>NUEVO este año</w:t>
      </w:r>
      <w:r>
        <w:t>.</w:t>
      </w:r>
    </w:p>
    <w:p>
      <w:pPr>
        <w:pStyle w:val="ListNumber"/>
      </w:pPr>
      <w:r>
        <w:t>Registros de observaciones previas y sus respectivas acciones correctivas.</w:t>
      </w:r>
    </w:p>
    <w:p>
      <w:r>
        <w:t xml:space="preserve">Lo que </w:t>
      </w:r>
      <w:r>
        <w:rPr>
          <w:b/>
        </w:rPr>
        <w:t>NO tenemos consolidado</w:t>
      </w:r>
      <w:r>
        <w:t xml:space="preserve"> y necesitamos urgente:</w:t>
      </w:r>
    </w:p>
    <w:p>
      <w:pPr>
        <w:pStyle w:val="ListBullet"/>
      </w:pPr>
      <w:r>
        <w:t>El manual formal está desactualizado (marzo 2023). Los cambios de 2025 y 2026 están en presentaciones y correos como este.</w:t>
      </w:r>
    </w:p>
    <w:p>
      <w:pPr>
        <w:pStyle w:val="ListBullet"/>
      </w:pPr>
      <w:r>
        <w:t>No existe procedimiento formal de destrucción de documentación (referenciado en correo del 8 de abril).</w:t>
      </w:r>
    </w:p>
    <w:p>
      <w:pPr>
        <w:pStyle w:val="ListBullet"/>
      </w:pPr>
      <w:r>
        <w:t>La matriz de controles del proceso no se ha actualizado con los ajustes recientes.</w:t>
      </w:r>
    </w:p>
    <w:p>
      <w:r>
        <w:rPr>
          <w:b/>
        </w:rPr>
        <w:t>Necesitamos actuar esta semana.</w:t>
      </w:r>
      <w:r>
        <w:t xml:space="preserve"> Es decir, si algún supervisor quiere colaborar en consolidar esto en un documento único, por favor me avisa.</w:t>
      </w:r>
    </w:p>
    <w:p>
      <w:r>
        <w:t>Gracias, Laura Pacheco Directora de Compliance</w:t>
      </w:r>
    </w:p>
    <w:p>
      <w:pPr>
        <w:pBdr>
          <w:bottom w:val="single" w:sz="6" w:space="1" w:color="B0B6C2"/>
        </w:pBdr>
      </w:pPr>
    </w:p>
    <w:p>
      <w:r>
        <w:rPr>
          <w:b/>
        </w:rPr>
        <w:t>Anexo — Cambios aplicados a la fecha (28 de abril 2026):</w:t>
      </w:r>
    </w:p>
    <w:tbl>
      <w:tblPr>
        <w:tblStyle w:val="LightGrid-Accent1"/>
        <w:tblW w:type="auto" w:w="0"/>
        <w:tblLook w:firstColumn="1" w:firstRow="1" w:lastColumn="0" w:lastRow="0" w:noHBand="0" w:noVBand="1" w:val="04A0"/>
      </w:tblPr>
      <w:tblGrid>
        <w:gridCol w:w="2436"/>
        <w:gridCol w:w="2436"/>
        <w:gridCol w:w="2436"/>
        <w:gridCol w:w="2436"/>
      </w:tblGrid>
      <w:tr>
        <w:tc>
          <w:tcPr>
            <w:tcW w:type="dxa" w:w="2436"/>
            <w:shd w:val="clear" w:color="auto" w:fill="0B2545"/>
          </w:tcPr>
          <w:p>
            <w:r/>
            <w:r>
              <w:rPr>
                <w:b/>
                <w:color w:val="FFFFFF"/>
                <w:sz w:val="21"/>
              </w:rPr>
              <w:t>Parámetro</w:t>
            </w:r>
          </w:p>
        </w:tc>
        <w:tc>
          <w:tcPr>
            <w:tcW w:type="dxa" w:w="2436"/>
            <w:shd w:val="clear" w:color="auto" w:fill="0B2545"/>
          </w:tcPr>
          <w:p>
            <w:r/>
            <w:r>
              <w:rPr>
                <w:b/>
                <w:color w:val="FFFFFF"/>
                <w:sz w:val="21"/>
              </w:rPr>
              <w:t>Manual 2023</w:t>
            </w:r>
          </w:p>
        </w:tc>
        <w:tc>
          <w:tcPr>
            <w:tcW w:type="dxa" w:w="2436"/>
            <w:shd w:val="clear" w:color="auto" w:fill="0B2545"/>
          </w:tcPr>
          <w:p>
            <w:r/>
            <w:r>
              <w:rPr>
                <w:b/>
                <w:color w:val="FFFFFF"/>
                <w:sz w:val="21"/>
              </w:rPr>
              <w:t>Presentación 2025</w:t>
            </w:r>
          </w:p>
        </w:tc>
        <w:tc>
          <w:tcPr>
            <w:tcW w:type="dxa" w:w="2436"/>
            <w:shd w:val="clear" w:color="auto" w:fill="0B2545"/>
          </w:tcPr>
          <w:p>
            <w:r/>
            <w:r>
              <w:rPr>
                <w:b/>
                <w:color w:val="FFFFFF"/>
                <w:sz w:val="21"/>
              </w:rPr>
              <w:t>Correo reciente</w:t>
            </w:r>
          </w:p>
        </w:tc>
      </w:tr>
      <w:tr>
        <w:tc>
          <w:tcPr>
            <w:tcW w:type="dxa" w:w="2436"/>
          </w:tcPr>
          <w:p>
            <w:r>
              <w:rPr>
                <w:sz w:val="21"/>
              </w:rPr>
            </w:r>
            <w:r>
              <w:rPr>
                <w:sz w:val="21"/>
              </w:rPr>
              <w:t>Ingreso mínimo comprobable</w:t>
            </w:r>
          </w:p>
        </w:tc>
        <w:tc>
          <w:tcPr>
            <w:tcW w:type="dxa" w:w="2436"/>
          </w:tcPr>
          <w:p>
            <w:r>
              <w:rPr>
                <w:sz w:val="21"/>
              </w:rPr>
            </w:r>
            <w:r>
              <w:rPr>
                <w:sz w:val="21"/>
              </w:rPr>
              <w:t>MXN 6,500</w:t>
            </w:r>
          </w:p>
        </w:tc>
        <w:tc>
          <w:tcPr>
            <w:tcW w:type="dxa" w:w="2436"/>
          </w:tcPr>
          <w:p>
            <w:r>
              <w:rPr>
                <w:sz w:val="21"/>
              </w:rPr>
            </w:r>
            <w:r>
              <w:rPr>
                <w:sz w:val="21"/>
              </w:rPr>
              <w:t>MXN 7,000</w:t>
            </w:r>
          </w:p>
        </w:tc>
        <w:tc>
          <w:tcPr>
            <w:tcW w:type="dxa" w:w="2436"/>
          </w:tcPr>
          <w:p>
            <w:r>
              <w:rPr>
                <w:sz w:val="21"/>
              </w:rPr>
            </w:r>
            <w:r>
              <w:rPr>
                <w:b/>
                <w:sz w:val="21"/>
              </w:rPr>
              <w:t>MXN 8,200</w:t>
            </w:r>
            <w:r>
              <w:rPr>
                <w:sz w:val="21"/>
              </w:rPr>
              <w:t xml:space="preserve"> (feb)</w:t>
            </w:r>
          </w:p>
        </w:tc>
      </w:tr>
      <w:tr>
        <w:tc>
          <w:tcPr>
            <w:tcW w:type="dxa" w:w="2436"/>
          </w:tcPr>
          <w:p>
            <w:r>
              <w:rPr>
                <w:sz w:val="21"/>
              </w:rPr>
            </w:r>
            <w:r>
              <w:rPr>
                <w:sz w:val="21"/>
              </w:rPr>
              <w:t>Plazo máximo PDV estándar</w:t>
            </w:r>
          </w:p>
        </w:tc>
        <w:tc>
          <w:tcPr>
            <w:tcW w:type="dxa" w:w="2436"/>
          </w:tcPr>
          <w:p>
            <w:r>
              <w:rPr>
                <w:sz w:val="21"/>
              </w:rPr>
            </w:r>
            <w:r>
              <w:rPr>
                <w:sz w:val="21"/>
              </w:rPr>
              <w:t>24 meses</w:t>
            </w:r>
          </w:p>
        </w:tc>
        <w:tc>
          <w:tcPr>
            <w:tcW w:type="dxa" w:w="2436"/>
          </w:tcPr>
          <w:p>
            <w:r>
              <w:rPr>
                <w:sz w:val="21"/>
              </w:rPr>
            </w:r>
            <w:r>
              <w:rPr>
                <w:sz w:val="21"/>
              </w:rPr>
              <w:t>36 meses</w:t>
            </w:r>
          </w:p>
        </w:tc>
        <w:tc>
          <w:tcPr>
            <w:tcW w:type="dxa" w:w="2436"/>
          </w:tcPr>
          <w:p>
            <w:r>
              <w:rPr>
                <w:sz w:val="21"/>
              </w:rPr>
            </w:r>
            <w:r>
              <w:rPr>
                <w:sz w:val="21"/>
              </w:rPr>
              <w:t>(sin cambio)</w:t>
            </w:r>
          </w:p>
        </w:tc>
      </w:tr>
      <w:tr>
        <w:tc>
          <w:tcPr>
            <w:tcW w:type="dxa" w:w="2436"/>
          </w:tcPr>
          <w:p>
            <w:r>
              <w:rPr>
                <w:sz w:val="21"/>
              </w:rPr>
            </w:r>
            <w:r>
              <w:rPr>
                <w:sz w:val="21"/>
              </w:rPr>
              <w:t>Plazo máximo producto moto</w:t>
            </w:r>
          </w:p>
        </w:tc>
        <w:tc>
          <w:tcPr>
            <w:tcW w:type="dxa" w:w="2436"/>
          </w:tcPr>
          <w:p>
            <w:r>
              <w:rPr>
                <w:sz w:val="21"/>
              </w:rPr>
            </w:r>
            <w:r>
              <w:rPr>
                <w:sz w:val="21"/>
              </w:rPr>
              <w:t>24 meses</w:t>
            </w:r>
          </w:p>
        </w:tc>
        <w:tc>
          <w:tcPr>
            <w:tcW w:type="dxa" w:w="2436"/>
          </w:tcPr>
          <w:p>
            <w:r>
              <w:rPr>
                <w:sz w:val="21"/>
              </w:rPr>
            </w:r>
            <w:r>
              <w:rPr>
                <w:sz w:val="21"/>
              </w:rPr>
              <w:t>36 meses</w:t>
            </w:r>
          </w:p>
        </w:tc>
        <w:tc>
          <w:tcPr>
            <w:tcW w:type="dxa" w:w="2436"/>
          </w:tcPr>
          <w:p>
            <w:r>
              <w:rPr>
                <w:sz w:val="21"/>
              </w:rPr>
            </w:r>
            <w:r>
              <w:rPr>
                <w:b/>
                <w:sz w:val="21"/>
              </w:rPr>
              <w:t>36 meses confirmado</w:t>
            </w:r>
            <w:r>
              <w:rPr>
                <w:sz w:val="21"/>
              </w:rPr>
              <w:t xml:space="preserve"> (mar)</w:t>
            </w:r>
          </w:p>
        </w:tc>
      </w:tr>
      <w:tr>
        <w:tc>
          <w:tcPr>
            <w:tcW w:type="dxa" w:w="2436"/>
          </w:tcPr>
          <w:p>
            <w:r>
              <w:rPr>
                <w:sz w:val="21"/>
              </w:rPr>
            </w:r>
            <w:r>
              <w:rPr>
                <w:sz w:val="21"/>
              </w:rPr>
              <w:t>Monto autorización asesor</w:t>
            </w:r>
          </w:p>
        </w:tc>
        <w:tc>
          <w:tcPr>
            <w:tcW w:type="dxa" w:w="2436"/>
          </w:tcPr>
          <w:p>
            <w:r>
              <w:rPr>
                <w:sz w:val="21"/>
              </w:rPr>
            </w:r>
            <w:r>
              <w:rPr>
                <w:sz w:val="21"/>
              </w:rPr>
              <w:t>MXN 12,000</w:t>
            </w:r>
          </w:p>
        </w:tc>
        <w:tc>
          <w:tcPr>
            <w:tcW w:type="dxa" w:w="2436"/>
          </w:tcPr>
          <w:p>
            <w:r>
              <w:rPr>
                <w:sz w:val="21"/>
              </w:rPr>
            </w:r>
            <w:r>
              <w:rPr>
                <w:sz w:val="21"/>
              </w:rPr>
              <w:t>MXN 18,000</w:t>
            </w:r>
          </w:p>
        </w:tc>
        <w:tc>
          <w:tcPr>
            <w:tcW w:type="dxa" w:w="2436"/>
          </w:tcPr>
          <w:p>
            <w:r>
              <w:rPr>
                <w:sz w:val="21"/>
              </w:rPr>
            </w:r>
            <w:r>
              <w:rPr>
                <w:b/>
                <w:sz w:val="21"/>
              </w:rPr>
              <w:t>MXN 25,000</w:t>
            </w:r>
            <w:r>
              <w:rPr>
                <w:sz w:val="21"/>
              </w:rPr>
              <w:t xml:space="preserve"> (abr)</w:t>
            </w:r>
          </w:p>
        </w:tc>
      </w:tr>
      <w:tr>
        <w:tc>
          <w:tcPr>
            <w:tcW w:type="dxa" w:w="2436"/>
          </w:tcPr>
          <w:p>
            <w:r>
              <w:rPr>
                <w:sz w:val="21"/>
              </w:rPr>
            </w:r>
            <w:r>
              <w:rPr>
                <w:sz w:val="21"/>
              </w:rPr>
              <w:t>Monto autorización supervisor</w:t>
            </w:r>
          </w:p>
        </w:tc>
        <w:tc>
          <w:tcPr>
            <w:tcW w:type="dxa" w:w="2436"/>
          </w:tcPr>
          <w:p>
            <w:r>
              <w:rPr>
                <w:sz w:val="21"/>
              </w:rPr>
            </w:r>
            <w:r>
              <w:rPr>
                <w:sz w:val="21"/>
              </w:rPr>
              <w:t>MXN 12,001–35,000</w:t>
            </w:r>
          </w:p>
        </w:tc>
        <w:tc>
          <w:tcPr>
            <w:tcW w:type="dxa" w:w="2436"/>
          </w:tcPr>
          <w:p>
            <w:r>
              <w:rPr>
                <w:sz w:val="21"/>
              </w:rPr>
            </w:r>
            <w:r>
              <w:rPr>
                <w:sz w:val="21"/>
              </w:rPr>
              <w:t>MXN 18,001–40,000</w:t>
            </w:r>
          </w:p>
        </w:tc>
        <w:tc>
          <w:tcPr>
            <w:tcW w:type="dxa" w:w="2436"/>
          </w:tcPr>
          <w:p>
            <w:r>
              <w:rPr>
                <w:sz w:val="21"/>
              </w:rPr>
            </w:r>
            <w:r>
              <w:rPr>
                <w:b/>
                <w:sz w:val="21"/>
              </w:rPr>
              <w:t>MXN 25,001–50,000</w:t>
            </w:r>
          </w:p>
        </w:tc>
      </w:tr>
      <w:tr>
        <w:tc>
          <w:tcPr>
            <w:tcW w:type="dxa" w:w="2436"/>
          </w:tcPr>
          <w:p>
            <w:r>
              <w:rPr>
                <w:sz w:val="21"/>
              </w:rPr>
            </w:r>
            <w:r>
              <w:rPr>
                <w:sz w:val="21"/>
              </w:rPr>
              <w:t>Monto autorización gerente de zona</w:t>
            </w:r>
          </w:p>
        </w:tc>
        <w:tc>
          <w:tcPr>
            <w:tcW w:type="dxa" w:w="2436"/>
          </w:tcPr>
          <w:p>
            <w:r>
              <w:rPr>
                <w:sz w:val="21"/>
              </w:rPr>
            </w:r>
            <w:r>
              <w:rPr>
                <w:sz w:val="21"/>
              </w:rPr>
              <w:t>MXN 35,001–75,000</w:t>
            </w:r>
          </w:p>
        </w:tc>
        <w:tc>
          <w:tcPr>
            <w:tcW w:type="dxa" w:w="2436"/>
          </w:tcPr>
          <w:p>
            <w:r>
              <w:rPr>
                <w:sz w:val="21"/>
              </w:rPr>
            </w:r>
            <w:r>
              <w:rPr>
                <w:sz w:val="21"/>
              </w:rPr>
              <w:t>MXN 40,001–80,000</w:t>
            </w:r>
          </w:p>
        </w:tc>
        <w:tc>
          <w:tcPr>
            <w:tcW w:type="dxa" w:w="2436"/>
          </w:tcPr>
          <w:p>
            <w:r>
              <w:rPr>
                <w:sz w:val="21"/>
              </w:rPr>
            </w:r>
            <w:r>
              <w:rPr>
                <w:b/>
                <w:sz w:val="21"/>
              </w:rPr>
              <w:t>MXN 50,001–100,000</w:t>
            </w:r>
          </w:p>
        </w:tc>
      </w:tr>
      <w:tr>
        <w:tc>
          <w:tcPr>
            <w:tcW w:type="dxa" w:w="2436"/>
          </w:tcPr>
          <w:p>
            <w:r>
              <w:rPr>
                <w:sz w:val="21"/>
              </w:rPr>
            </w:r>
            <w:r>
              <w:rPr>
                <w:sz w:val="21"/>
              </w:rPr>
              <w:t>Destrucción de documentación</w:t>
            </w:r>
          </w:p>
        </w:tc>
        <w:tc>
          <w:tcPr>
            <w:tcW w:type="dxa" w:w="2436"/>
          </w:tcPr>
          <w:p>
            <w:r>
              <w:rPr>
                <w:sz w:val="21"/>
              </w:rPr>
            </w:r>
            <w:r>
              <w:rPr>
                <w:sz w:val="21"/>
              </w:rPr>
              <w:t>No documentado</w:t>
            </w:r>
          </w:p>
        </w:tc>
        <w:tc>
          <w:tcPr>
            <w:tcW w:type="dxa" w:w="2436"/>
          </w:tcPr>
          <w:p>
            <w:r>
              <w:rPr>
                <w:sz w:val="21"/>
              </w:rPr>
            </w:r>
            <w:r>
              <w:rPr>
                <w:sz w:val="21"/>
              </w:rPr>
              <w:t>No mencionado</w:t>
            </w:r>
          </w:p>
        </w:tc>
        <w:tc>
          <w:tcPr>
            <w:tcW w:type="dxa" w:w="2436"/>
          </w:tcPr>
          <w:p>
            <w:r>
              <w:rPr>
                <w:sz w:val="21"/>
              </w:rPr>
            </w:r>
            <w:r>
              <w:rPr>
                <w:b/>
                <w:sz w:val="21"/>
              </w:rPr>
              <w:t>Pendiente de formalizar</w:t>
            </w:r>
          </w:p>
        </w:tc>
      </w:tr>
    </w:tbl>
    <w:p/>
    <w:sectPr w:rsidR="00FC693F" w:rsidRPr="0006063C" w:rsidSect="00034616">
      <w:pgSz w:w="12240" w:h="15840"/>
      <w:pgMar w:top="1134" w:right="1247" w:bottom="1134" w:left="124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Calibri" w:hAnsi="Calibri"/>
      <w:b/>
      <w:bCs/>
      <w:color w:val="0B2545"/>
      <w:sz w:val="40"/>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Calibri" w:hAnsi="Calibri"/>
      <w:b/>
      <w:bCs/>
      <w:color w:val="0B2545"/>
      <w:sz w:val="30"/>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Calibri" w:hAnsi="Calibri"/>
      <w:b/>
      <w:bCs/>
      <w:color w:val="0B2545"/>
      <w:sz w:val="26"/>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