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B2545"/>
        </w:rPr>
        <w:t>Actualización 2025 — Proceso de Originación PDV Elektra</w:t>
      </w:r>
    </w:p>
    <w:p>
      <w:pPr>
        <w:pStyle w:val="Heading1"/>
      </w:pPr>
      <w:r>
        <w:rPr>
          <w:color w:val="0B2545"/>
        </w:rPr>
        <w:t>Presentación para Supervisores de Sucursal y Gerentes de Zona</w:t>
      </w:r>
    </w:p>
    <w:p>
      <w:r>
        <w:rPr>
          <w:b/>
        </w:rPr>
        <w:t>Presentador:</w:t>
      </w:r>
      <w:r>
        <w:t xml:space="preserve"> Eduardo Salazar, Dir. Operaciones Banco Azteca</w:t>
      </w:r>
    </w:p>
    <w:p>
      <w:r>
        <w:rPr>
          <w:b/>
        </w:rPr>
        <w:t>Sesión:</w:t>
      </w:r>
      <w:r>
        <w:t xml:space="preserve"> Convención de Supervisores — Cancún, noviembre 2025</w:t>
      </w:r>
    </w:p>
    <w:p>
      <w:r>
        <w:rPr>
          <w:b/>
        </w:rPr>
        <w:t>Distribución:</w:t>
      </w:r>
      <w:r>
        <w:t xml:space="preserve"> Confidencial — supervisores activos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Slide 1: ¿Por qué actualizamos el proceso?</w:t>
      </w:r>
    </w:p>
    <w:p>
      <w:r>
        <w:t>Tres razones:</w:t>
      </w:r>
    </w:p>
    <w:p>
      <w:pPr>
        <w:pStyle w:val="ListNumber"/>
      </w:pPr>
      <w:r>
        <w:rPr>
          <w:b/>
        </w:rPr>
        <w:t>Presión regulatoria:</w:t>
      </w:r>
      <w:r>
        <w:t xml:space="preserve"> CNBV endureció validación de identidad con nuevos criterios.</w:t>
      </w:r>
    </w:p>
    <w:p>
      <w:pPr>
        <w:pStyle w:val="ListNumber"/>
      </w:pPr>
      <w:r>
        <w:rPr>
          <w:b/>
        </w:rPr>
        <w:t>Competencia:</w:t>
      </w:r>
      <w:r>
        <w:t xml:space="preserve"> las fintechs capturan clientes jóvenes que no entran al perfil actual.</w:t>
      </w:r>
    </w:p>
    <w:p>
      <w:pPr>
        <w:pStyle w:val="ListNumber"/>
      </w:pPr>
      <w:r>
        <w:rPr>
          <w:b/>
        </w:rPr>
        <w:t>Resultados internos:</w:t>
      </w:r>
      <w:r>
        <w:t xml:space="preserve"> la morosidad del portafolio PDV subió de 4.1% a 4.6% en 2024.</w:t>
      </w:r>
    </w:p>
    <w:p>
      <w:pPr>
        <w:pStyle w:val="Heading1"/>
      </w:pPr>
      <w:r>
        <w:rPr>
          <w:color w:val="0B2545"/>
        </w:rPr>
        <w:t>Slide 2: Los 5 cambios más importantes</w:t>
      </w:r>
    </w:p>
    <w:p>
      <w:pPr>
        <w:pStyle w:val="Heading2"/>
      </w:pPr>
      <w:r>
        <w:rPr>
          <w:color w:val="0B2545"/>
        </w:rPr>
        <w:t>Cambio 1 — Ingreso mínimo comprobable</w:t>
      </w:r>
    </w:p>
    <w:p>
      <w:pPr>
        <w:pStyle w:val="ListBullet"/>
      </w:pPr>
      <w:r>
        <w:rPr>
          <w:b/>
        </w:rPr>
        <w:t>ANTES (2023):</w:t>
      </w:r>
      <w:r>
        <w:t xml:space="preserve"> MXN 6,500</w:t>
      </w:r>
    </w:p>
    <w:p>
      <w:pPr>
        <w:pStyle w:val="ListBullet"/>
      </w:pPr>
      <w:r>
        <w:rPr>
          <w:b/>
        </w:rPr>
        <w:t>AHORA (2025):</w:t>
      </w:r>
      <w:r>
        <w:t xml:space="preserve"> MXN 7,000</w:t>
      </w:r>
    </w:p>
    <w:p>
      <w:r>
        <w:t>Racional: ajuste por inflación acumulada 2023-2025.</w:t>
      </w:r>
    </w:p>
    <w:p>
      <w:pPr>
        <w:pStyle w:val="Heading2"/>
      </w:pPr>
      <w:r>
        <w:rPr>
          <w:color w:val="0B2545"/>
        </w:rPr>
        <w:t>Cambio 2 — Plazo máximo del crédito</w:t>
      </w:r>
    </w:p>
    <w:p>
      <w:pPr>
        <w:pStyle w:val="ListBullet"/>
      </w:pPr>
      <w:r>
        <w:rPr>
          <w:b/>
        </w:rPr>
        <w:t>ANTES:</w:t>
      </w:r>
      <w:r>
        <w:t xml:space="preserve"> 24 meses</w:t>
      </w:r>
    </w:p>
    <w:p>
      <w:pPr>
        <w:pStyle w:val="ListBullet"/>
      </w:pPr>
      <w:r>
        <w:rPr>
          <w:b/>
        </w:rPr>
        <w:t>AHORA:</w:t>
      </w:r>
      <w:r>
        <w:t xml:space="preserve"> hasta 36 meses en productos seleccionados (línea blanca de alto valor, motos).</w:t>
      </w:r>
    </w:p>
    <w:p>
      <w:r>
        <w:t>Regla: plazos &gt; 24 meses requieren análisis adicional de capacidad de pago del cliente. El asesor llena el formulario ZD-APC en BACE.</w:t>
      </w:r>
    </w:p>
    <w:p>
      <w:pPr>
        <w:pStyle w:val="Heading2"/>
      </w:pPr>
      <w:r>
        <w:rPr>
          <w:color w:val="0B2545"/>
        </w:rPr>
        <w:t>Cambio 3 — Nuevo producto: Crédito Express Digital</w:t>
      </w:r>
    </w:p>
    <w:p>
      <w:r>
        <w:t>Para clientes con buen historial previo Banco Azteca:</w:t>
      </w:r>
    </w:p>
    <w:p>
      <w:pPr>
        <w:pStyle w:val="ListBullet"/>
      </w:pPr>
      <w:r>
        <w:t>Hasta MXN 15,000 con aprobación en menos de 5 minutos.</w:t>
      </w:r>
    </w:p>
    <w:p>
      <w:pPr>
        <w:pStyle w:val="ListBullet"/>
      </w:pPr>
      <w:r>
        <w:t>Sin comprobante de ingresos si el cliente es nómina Banco Azteca.</w:t>
      </w:r>
    </w:p>
    <w:p>
      <w:pPr>
        <w:pStyle w:val="ListBullet"/>
      </w:pPr>
      <w:r>
        <w:t>Plazo fijo de 12 meses.</w:t>
      </w:r>
    </w:p>
    <w:p>
      <w:pPr>
        <w:pStyle w:val="Heading2"/>
      </w:pPr>
      <w:r>
        <w:rPr>
          <w:color w:val="0B2545"/>
        </w:rPr>
        <w:t>Cambio 4 — Validación facial biométrica</w:t>
      </w:r>
    </w:p>
    <w:p>
      <w:pPr>
        <w:pStyle w:val="ListBullet"/>
      </w:pPr>
      <w:r>
        <w:t>Desde enero 2025, la pantalla 8 de BACE requiere captura de rostro del cliente con selfie + INE.</w:t>
      </w:r>
    </w:p>
    <w:p>
      <w:pPr>
        <w:pStyle w:val="ListBullet"/>
      </w:pPr>
      <w:r>
        <w:t>Si la validación biométrica falla 3 veces, el crédito NO puede originarse. Debe escalarse a supervisor.</w:t>
      </w:r>
    </w:p>
    <w:p>
      <w:pPr>
        <w:pStyle w:val="Heading2"/>
      </w:pPr>
      <w:r>
        <w:rPr>
          <w:color w:val="0B2545"/>
        </w:rPr>
        <w:t>Cambio 5 — Explicación de CAT en la primera pantalla</w:t>
      </w:r>
    </w:p>
    <w:p>
      <w:r>
        <w:t>CONDUSEF emitió requerimiento: el CAT debe aparecer en la primera pantalla que el cliente ve, no al final. El sistema BACE se actualizó para cumplir esto.</w:t>
      </w:r>
    </w:p>
    <w:p>
      <w:pPr>
        <w:pStyle w:val="Heading1"/>
      </w:pPr>
      <w:r>
        <w:rPr>
          <w:color w:val="0B2545"/>
        </w:rPr>
        <w:t>Slide 3: Lo que NO cambió</w:t>
      </w:r>
    </w:p>
    <w:p>
      <w:pPr>
        <w:pStyle w:val="ListBullet"/>
      </w:pPr>
      <w:r>
        <w:t>Los documentos requeridos siguen siendo los mismos 4 (identificación, comprobante de domicilio, comprobante de ingresos, referencias).</w:t>
      </w:r>
    </w:p>
    <w:p>
      <w:pPr>
        <w:pStyle w:val="ListBullet"/>
      </w:pPr>
      <w:r>
        <w:t>El flujo de escalamiento por monto se mantiene.</w:t>
      </w:r>
    </w:p>
    <w:p>
      <w:pPr>
        <w:pStyle w:val="ListBullet"/>
      </w:pPr>
      <w:r>
        <w:t>La conservación de expedientes físicos sigue siendo 6 años.</w:t>
      </w:r>
    </w:p>
    <w:p>
      <w:pPr>
        <w:pStyle w:val="Heading1"/>
      </w:pPr>
      <w:r>
        <w:rPr>
          <w:color w:val="0B2545"/>
        </w:rPr>
        <w:t>Slide 4: Umbrales actualizados de escalamiento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Monto del crédito</w:t>
            </w:r>
          </w:p>
        </w:tc>
        <w:tc>
          <w:tcPr>
            <w:tcW w:type="dxa" w:w="4873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Quién autoriza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Hasta MXN 18,000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Asesor de crédito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MXN 18,001 a MXN 40,000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Supervisor de sucursal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MXN 40,001 a MXN 80,000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Gerente de Zona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Más de MXN 80,000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Riesgo Corporativo</w:t>
            </w:r>
          </w:p>
        </w:tc>
      </w:tr>
    </w:tbl>
    <w:p/>
    <w:p>
      <w:r>
        <w:rPr>
          <w:b/>
        </w:rPr>
        <w:t>Nota:</w:t>
      </w:r>
      <w:r>
        <w:t xml:space="preserve"> los umbrales del manual 2023 están desactualizados. Usar estos a partir de enero 2025.</w:t>
      </w:r>
    </w:p>
    <w:p>
      <w:pPr>
        <w:pStyle w:val="Heading1"/>
      </w:pPr>
      <w:r>
        <w:rPr>
          <w:color w:val="0B2545"/>
        </w:rPr>
        <w:t>Slide 5: Errores más comunes detectados en auditoría interna</w:t>
      </w:r>
    </w:p>
    <w:p>
      <w:r>
        <w:t>De los expedientes revisados en Q3 2024:</w:t>
      </w:r>
    </w:p>
    <w:p>
      <w:pPr>
        <w:pStyle w:val="ListNumber"/>
      </w:pPr>
      <w:r>
        <w:t>34% tenían firma de "consentimiento para consulta de buró" pero sin fecha.</w:t>
      </w:r>
    </w:p>
    <w:p>
      <w:pPr>
        <w:pStyle w:val="ListNumber"/>
      </w:pPr>
      <w:r>
        <w:t>12% tenían comprobante de domicilio con más de 3 meses de antigüedad.</w:t>
      </w:r>
    </w:p>
    <w:p>
      <w:pPr>
        <w:pStyle w:val="ListNumber"/>
      </w:pPr>
      <w:r>
        <w:t>8% mostraban validación biométrica incompleta o saltada.</w:t>
      </w:r>
    </w:p>
    <w:p>
      <w:pPr>
        <w:pStyle w:val="ListNumber"/>
      </w:pPr>
      <w:r>
        <w:t>4% no tenían evidencia de que el asesor explicó el CAT.</w:t>
      </w:r>
    </w:p>
    <w:p>
      <w:r>
        <w:t>Estos errores son motivo de observación regulatoria. Los supervisores deben hacer revisión diaria de expedientes nuevos.</w:t>
      </w:r>
    </w:p>
    <w:p>
      <w:pPr>
        <w:pStyle w:val="Heading1"/>
      </w:pPr>
      <w:r>
        <w:rPr>
          <w:color w:val="0B2545"/>
        </w:rPr>
        <w:t>Slide 6: Lo que viene en 2026</w:t>
      </w:r>
    </w:p>
    <w:p>
      <w:r>
        <w:t>Está en evaluación (NO aprobado aún):</w:t>
      </w:r>
    </w:p>
    <w:p>
      <w:pPr>
        <w:pStyle w:val="ListBullet"/>
      </w:pPr>
      <w:r>
        <w:t>Elevar ingreso mínimo a MXN 8,000.</w:t>
      </w:r>
    </w:p>
    <w:p>
      <w:pPr>
        <w:pStyle w:val="ListBullet"/>
      </w:pPr>
      <w:r>
        <w:t>Permitir ampliación de plazo a 48 meses en algunos productos.</w:t>
      </w:r>
    </w:p>
    <w:p>
      <w:pPr>
        <w:pStyle w:val="ListBullet"/>
      </w:pPr>
      <w:r>
        <w:t>Incorporar firma electrónica (sin papel) en crédito express.</w:t>
      </w:r>
    </w:p>
    <w:p>
      <w:r>
        <w:rPr>
          <w:b/>
        </w:rPr>
        <w:t>Importante:</w:t>
      </w:r>
      <w:r>
        <w:t xml:space="preserve"> no comuniquen estos cambios a los asesores hasta que estén formalmente aprobados.</w:t>
      </w:r>
    </w:p>
    <w:p>
      <w:pPr>
        <w:pStyle w:val="Heading1"/>
      </w:pPr>
      <w:r>
        <w:rPr>
          <w:color w:val="0B2545"/>
        </w:rPr>
        <w:t>Slide 7: Preguntas frecuentes</w:t>
      </w:r>
    </w:p>
    <w:p>
      <w:r>
        <w:rPr>
          <w:b/>
        </w:rPr>
        <w:t>Q:</w:t>
      </w:r>
      <w:r>
        <w:t xml:space="preserve"> ¿Y si un cliente no quiere hacerse la selfie?</w:t>
      </w:r>
    </w:p>
    <w:p>
      <w:r>
        <w:rPr>
          <w:b/>
        </w:rPr>
        <w:t>R:</w:t>
      </w:r>
      <w:r>
        <w:t xml:space="preserve"> No se puede originar el crédito. La validación biométrica es obligatoria.</w:t>
      </w:r>
    </w:p>
    <w:p>
      <w:r>
        <w:rPr>
          <w:b/>
        </w:rPr>
        <w:t>Q:</w:t>
      </w:r>
      <w:r>
        <w:t xml:space="preserve"> ¿Un cliente con dos referencias que no contestan se rechaza?</w:t>
      </w:r>
    </w:p>
    <w:p>
      <w:r>
        <w:rPr>
          <w:b/>
        </w:rPr>
        <w:t>R:</w:t>
      </w:r>
      <w:r>
        <w:t xml:space="preserve"> Según el manual sí, pero se puede aceptar 1 de 2 en casos de perfil ya conocido. Consulten con su supervisor.</w:t>
      </w:r>
    </w:p>
    <w:p>
      <w:r>
        <w:rPr>
          <w:b/>
        </w:rPr>
        <w:t>Q:</w:t>
      </w:r>
      <w:r>
        <w:t xml:space="preserve"> ¿Qué pasa si el sistema BACE se cae durante la sesión?</w:t>
      </w:r>
    </w:p>
    <w:p>
      <w:r>
        <w:rPr>
          <w:b/>
        </w:rPr>
        <w:t>R:</w:t>
      </w:r>
      <w:r>
        <w:t xml:space="preserve"> NO se origina el crédito en papel. Se invita al cliente a regresar o se mueve a otra sucursal. No hay proceso manual autorizado.</w:t>
      </w:r>
    </w:p>
    <w:p>
      <w:pPr>
        <w:pBdr>
          <w:bottom w:val="single" w:sz="6" w:space="1" w:color="B0B6C2"/>
        </w:pBdr>
      </w:pPr>
    </w:p>
    <w:p>
      <w:r>
        <w:rPr>
          <w:b/>
        </w:rPr>
        <w:t>Contacto para dudas:</w:t>
      </w:r>
    </w:p>
    <w:p>
      <w:pPr>
        <w:pStyle w:val="ListBullet"/>
      </w:pPr>
      <w:r>
        <w:t>Eduardo Salazar, Dir. Operaciones — eduardo.salazar@bancoazteca.com.mx</w:t>
      </w:r>
    </w:p>
    <w:p>
      <w:pPr>
        <w:pStyle w:val="ListBullet"/>
      </w:pPr>
      <w:r>
        <w:t>Mesa de ayuda Operaciones — ext. 4500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B2545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B254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B2545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