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Title"/>
      </w:pPr>
      <w:r>
        <w:rPr>
          <w:color w:val="0B2545"/>
        </w:rPr>
        <w:t>Manual de Originación — Crédito al Consumo PDV Elektra</w:t>
      </w:r>
    </w:p>
    <w:p>
      <w:pPr>
        <w:pStyle w:val="Heading1"/>
      </w:pPr>
      <w:r>
        <w:rPr>
          <w:color w:val="0B2545"/>
        </w:rPr>
        <w:t>Banco Azteca — Procedimiento Vigente</w:t>
      </w:r>
    </w:p>
    <w:p>
      <w:r>
        <w:rPr>
          <w:b/>
        </w:rPr>
        <w:t>Código:</w:t>
      </w:r>
      <w:r>
        <w:t xml:space="preserve"> MPI-BA-OCC-2023-v4.2</w:t>
      </w:r>
    </w:p>
    <w:p>
      <w:r>
        <w:rPr>
          <w:b/>
        </w:rPr>
        <w:t>Fecha de emisión:</w:t>
      </w:r>
      <w:r>
        <w:t xml:space="preserve"> marzo 2023</w:t>
      </w:r>
    </w:p>
    <w:p>
      <w:r>
        <w:rPr>
          <w:b/>
        </w:rPr>
        <w:t>Última revisión formal:</w:t>
      </w:r>
      <w:r>
        <w:t xml:space="preserve"> mayo 2023</w:t>
      </w:r>
    </w:p>
    <w:p>
      <w:r>
        <w:rPr>
          <w:b/>
        </w:rPr>
        <w:t>Vigencia:</w:t>
      </w:r>
      <w:r>
        <w:t xml:space="preserve"> hasta nueva actualización</w:t>
      </w:r>
    </w:p>
    <w:p>
      <w:r>
        <w:rPr>
          <w:b/>
        </w:rPr>
        <w:t>Clasificación:</w:t>
      </w:r>
      <w:r>
        <w:t xml:space="preserve"> Uso Interno — Todas las tiendas Elektra</w:t>
      </w:r>
    </w:p>
    <w:p>
      <w:pPr>
        <w:pBdr>
          <w:bottom w:val="single" w:sz="6" w:space="1" w:color="B0B6C2"/>
        </w:pBdr>
      </w:pPr>
    </w:p>
    <w:p>
      <w:pPr>
        <w:pStyle w:val="Heading1"/>
      </w:pPr>
      <w:r>
        <w:rPr>
          <w:color w:val="0B2545"/>
        </w:rPr>
        <w:t>1. Objetivo</w:t>
      </w:r>
    </w:p>
    <w:p>
      <w:r>
        <w:t>Establecer el procedimiento uniforme que siguen los asesores de crédito en todas las tiendas Elektra del país al originar un crédito al consumo en punto de venta.</w:t>
      </w:r>
    </w:p>
    <w:p>
      <w:pPr>
        <w:pStyle w:val="Heading1"/>
      </w:pPr>
      <w:r>
        <w:rPr>
          <w:color w:val="0B2545"/>
        </w:rPr>
        <w:t>2. Alcance</w:t>
      </w:r>
    </w:p>
    <w:p>
      <w:r>
        <w:t>Aplica a los 1,900 asesores de crédito en tiendas Elektra. Cubre el crédito al consumo en modalidad:</w:t>
      </w:r>
    </w:p>
    <w:p>
      <w:pPr>
        <w:pStyle w:val="ListBullet"/>
      </w:pPr>
      <w:r>
        <w:t>Crédito tradicional PDV (línea A)</w:t>
      </w:r>
    </w:p>
    <w:p>
      <w:pPr>
        <w:pStyle w:val="ListBullet"/>
      </w:pPr>
      <w:r>
        <w:t>Crédito prendario (línea B)</w:t>
      </w:r>
    </w:p>
    <w:p>
      <w:pPr>
        <w:pStyle w:val="ListBullet"/>
      </w:pPr>
      <w:r>
        <w:t>Tarjeta de crédito Azteca presentada en tienda (línea C)</w:t>
      </w:r>
    </w:p>
    <w:p>
      <w:r>
        <w:t>No aplica a: crédito de nómina, crédito automotriz, crédito grupal Soli.</w:t>
      </w:r>
    </w:p>
    <w:p>
      <w:pPr>
        <w:pStyle w:val="Heading1"/>
      </w:pPr>
      <w:r>
        <w:rPr>
          <w:color w:val="0B2545"/>
        </w:rPr>
        <w:t>3. Requisitos de Admisión del Solicitante</w:t>
      </w:r>
    </w:p>
    <w:p>
      <w:pPr>
        <w:pStyle w:val="Heading2"/>
      </w:pPr>
      <w:r>
        <w:rPr>
          <w:color w:val="0B2545"/>
        </w:rPr>
        <w:t>3.1 Perfil del cliente</w:t>
      </w:r>
    </w:p>
    <w:p>
      <w:r>
        <w:rPr>
          <w:b/>
        </w:rPr>
        <w:t>Edad:</w:t>
      </w:r>
      <w:r>
        <w:t xml:space="preserve"> 21 a 70 años cumplidos.</w:t>
      </w:r>
    </w:p>
    <w:p>
      <w:r>
        <w:rPr>
          <w:b/>
        </w:rPr>
        <w:t>Ingreso mensual mínimo:</w:t>
      </w:r>
      <w:r>
        <w:t xml:space="preserve"> MXN 6,500 comprobable.</w:t>
      </w:r>
    </w:p>
    <w:p>
      <w:r>
        <w:rPr>
          <w:b/>
        </w:rPr>
        <w:t>Residencia:</w:t>
      </w:r>
      <w:r>
        <w:t xml:space="preserve"> domicilio fijo en México con antigüedad mínima de 6 meses en el mismo.</w:t>
      </w:r>
    </w:p>
    <w:p>
      <w:r>
        <w:rPr>
          <w:b/>
        </w:rPr>
        <w:t>Historial crediticio:</w:t>
      </w:r>
      <w:r>
        <w:t xml:space="preserve"> puede no tener historial previo (sin experiencia en buró). Si tiene experiencia, el score Banco Azteca interno debe ser mayor a 380.</w:t>
      </w:r>
    </w:p>
    <w:p>
      <w:pPr>
        <w:pStyle w:val="Heading2"/>
      </w:pPr>
      <w:r>
        <w:rPr>
          <w:color w:val="0B2545"/>
        </w:rPr>
        <w:t>3.2 Documentos requeridos</w:t>
      </w:r>
    </w:p>
    <w:p>
      <w:r>
        <w:t>El asesor de crédito debe solicitar y validar físicamente en tienda:</w:t>
      </w:r>
    </w:p>
    <w:p>
      <w:pPr>
        <w:pStyle w:val="ListNumber"/>
      </w:pPr>
      <w:r>
        <w:t>Identificación oficial vigente con fotografía (INE, cédula profesional o pasaporte).</w:t>
      </w:r>
    </w:p>
    <w:p>
      <w:pPr>
        <w:pStyle w:val="ListNumber"/>
      </w:pPr>
      <w:r>
        <w:t>Comprobante de domicilio con antigüedad no mayor a 3 meses (recibo de luz, agua, gas, teléfono o estado de cuenta bancario).</w:t>
      </w:r>
    </w:p>
    <w:p>
      <w:pPr>
        <w:pStyle w:val="ListNumber"/>
      </w:pPr>
      <w:r>
        <w:t>Comprobante de ingresos:</w:t>
      </w:r>
    </w:p>
    <w:p>
      <w:pPr>
        <w:pStyle w:val="ListBullet"/>
      </w:pPr>
      <w:r>
        <w:t>Empleado formal: dos últimos recibos de nómina.</w:t>
      </w:r>
    </w:p>
    <w:p>
      <w:pPr>
        <w:pStyle w:val="ListBullet"/>
      </w:pPr>
      <w:r>
        <w:t>Empleado informal: aval firmado con los mismos documentos del solicitante.</w:t>
      </w:r>
    </w:p>
    <w:p>
      <w:pPr>
        <w:pStyle w:val="ListBullet"/>
      </w:pPr>
      <w:r>
        <w:t>Comerciante: estado de cuenta bancario de los últimos 3 meses o carta de ingresos firmada.</w:t>
      </w:r>
    </w:p>
    <w:p>
      <w:pPr>
        <w:pStyle w:val="ListNumber"/>
      </w:pPr>
      <w:r>
        <w:t>Referencias personales: mínimo 2 referencias con teléfono fijo o móvil (se valida que contesten durante la sesión).</w:t>
      </w:r>
    </w:p>
    <w:p>
      <w:pPr>
        <w:pStyle w:val="Heading1"/>
      </w:pPr>
      <w:r>
        <w:rPr>
          <w:color w:val="0B2545"/>
        </w:rPr>
        <w:t>4. Procedimiento Paso a Paso</w:t>
      </w:r>
    </w:p>
    <w:p>
      <w:pPr>
        <w:pStyle w:val="Heading2"/>
      </w:pPr>
      <w:r>
        <w:rPr>
          <w:color w:val="0B2545"/>
        </w:rPr>
        <w:t>Paso 1 — Recepción y acogida del cliente</w:t>
      </w:r>
    </w:p>
    <w:p>
      <w:r>
        <w:t>El asesor saluda, invita a sentarse, ofrece agua. Pregunta qué producto viene a adquirir.</w:t>
      </w:r>
    </w:p>
    <w:p>
      <w:pPr>
        <w:pStyle w:val="Heading2"/>
      </w:pPr>
      <w:r>
        <w:rPr>
          <w:color w:val="0B2545"/>
        </w:rPr>
        <w:t>Paso 2 — Captura inicial de datos</w:t>
      </w:r>
    </w:p>
    <w:p>
      <w:r>
        <w:t>Captura en el sistema BACE (Banco Azteca Central de Expedientes):</w:t>
      </w:r>
    </w:p>
    <w:p>
      <w:pPr>
        <w:pStyle w:val="ListBullet"/>
      </w:pPr>
      <w:r>
        <w:t>Nombre completo del cliente</w:t>
      </w:r>
    </w:p>
    <w:p>
      <w:pPr>
        <w:pStyle w:val="ListBullet"/>
      </w:pPr>
      <w:r>
        <w:t>CURP</w:t>
      </w:r>
    </w:p>
    <w:p>
      <w:pPr>
        <w:pStyle w:val="ListBullet"/>
      </w:pPr>
      <w:r>
        <w:t>Número telefónico</w:t>
      </w:r>
    </w:p>
    <w:p>
      <w:pPr>
        <w:pStyle w:val="ListBullet"/>
      </w:pPr>
      <w:r>
        <w:t>Domicilio actual</w:t>
      </w:r>
    </w:p>
    <w:p>
      <w:pPr>
        <w:pStyle w:val="ListBullet"/>
      </w:pPr>
      <w:r>
        <w:t>Fecha de nacimiento</w:t>
      </w:r>
    </w:p>
    <w:p>
      <w:pPr>
        <w:pStyle w:val="Heading2"/>
      </w:pPr>
      <w:r>
        <w:rPr>
          <w:color w:val="0B2545"/>
        </w:rPr>
        <w:t>Paso 3 — Consulta preliminar</w:t>
      </w:r>
    </w:p>
    <w:p>
      <w:r>
        <w:t>El sistema BACE consulta automáticamente:</w:t>
      </w:r>
    </w:p>
    <w:p>
      <w:pPr>
        <w:pStyle w:val="ListBullet"/>
      </w:pPr>
      <w:r>
        <w:t>Buró de Crédito México (si tiene historial)</w:t>
      </w:r>
    </w:p>
    <w:p>
      <w:pPr>
        <w:pStyle w:val="ListBullet"/>
      </w:pPr>
      <w:r>
        <w:t>Base interna Banco Azteca</w:t>
      </w:r>
    </w:p>
    <w:p>
      <w:pPr>
        <w:pStyle w:val="ListBullet"/>
      </w:pPr>
      <w:r>
        <w:t>Lista OFAC de sanciones internacionales (automática)</w:t>
      </w:r>
    </w:p>
    <w:p>
      <w:pPr>
        <w:pStyle w:val="Heading2"/>
      </w:pPr>
      <w:r>
        <w:rPr>
          <w:color w:val="0B2545"/>
        </w:rPr>
        <w:t>Paso 4 — Validación documental</w:t>
      </w:r>
    </w:p>
    <w:p>
      <w:r>
        <w:t>El asesor revisa físicamente los documentos del cliente y verifica:</w:t>
      </w:r>
    </w:p>
    <w:p>
      <w:pPr>
        <w:pStyle w:val="ListBullet"/>
      </w:pPr>
      <w:r>
        <w:t>Vigencia de la identificación</w:t>
      </w:r>
    </w:p>
    <w:p>
      <w:pPr>
        <w:pStyle w:val="ListBullet"/>
      </w:pPr>
      <w:r>
        <w:t>Coincidencia de datos entre identificación y CURP</w:t>
      </w:r>
    </w:p>
    <w:p>
      <w:pPr>
        <w:pStyle w:val="ListBullet"/>
      </w:pPr>
      <w:r>
        <w:t>Comprobante de domicilio a nombre del cliente (o explicación válida)</w:t>
      </w:r>
    </w:p>
    <w:p>
      <w:pPr>
        <w:pStyle w:val="ListBullet"/>
      </w:pPr>
      <w:r>
        <w:t>Comprobantes de ingresos</w:t>
      </w:r>
    </w:p>
    <w:p>
      <w:pPr>
        <w:pStyle w:val="Heading2"/>
      </w:pPr>
      <w:r>
        <w:rPr>
          <w:color w:val="0B2545"/>
        </w:rPr>
        <w:t>Paso 5 — Determinación de monto y plazo</w:t>
      </w:r>
    </w:p>
    <w:p>
      <w:r>
        <w:t>El monto máximo se determina por la siguiente fórmula:</w:t>
      </w:r>
    </w:p>
    <w:p>
      <w:pPr>
        <w:pStyle w:val="ListBullet"/>
      </w:pPr>
      <w:r>
        <w:rPr>
          <w:b/>
        </w:rPr>
        <w:t>Ingreso comprobable × 3</w:t>
      </w:r>
      <w:r>
        <w:t xml:space="preserve"> = monto máximo solicitable</w:t>
      </w:r>
    </w:p>
    <w:p>
      <w:r>
        <w:rPr>
          <w:b/>
        </w:rPr>
        <w:t>Plazo máximo del crédito:</w:t>
      </w:r>
      <w:r>
        <w:t xml:space="preserve"> 24 meses.</w:t>
      </w:r>
    </w:p>
    <w:p>
      <w:r>
        <w:rPr>
          <w:b/>
        </w:rPr>
        <w:t>Tasa aplicable:</w:t>
      </w:r>
      <w:r>
        <w:t xml:space="preserve"> varía entre 49% y 89% CAT, según el segmento y el producto. Se muestra al cliente en la pantalla del BACE.</w:t>
      </w:r>
    </w:p>
    <w:p>
      <w:pPr>
        <w:pStyle w:val="Heading2"/>
      </w:pPr>
      <w:r>
        <w:rPr>
          <w:color w:val="0B2545"/>
        </w:rPr>
        <w:t>Paso 6 — Aprobación o escalamiento</w:t>
      </w:r>
    </w:p>
    <w:p>
      <w:r>
        <w:rPr>
          <w:b/>
        </w:rPr>
        <w:t>Aprobación automática del asesor:</w:t>
      </w:r>
      <w:r>
        <w:t xml:space="preserve"> hasta MXN 12,000.</w:t>
      </w:r>
    </w:p>
    <w:p>
      <w:r>
        <w:rPr>
          <w:b/>
        </w:rPr>
        <w:t>Escalamiento al supervisor de sucursal:</w:t>
      </w:r>
      <w:r>
        <w:t xml:space="preserve"> MXN 12,001 a MXN 35,000.</w:t>
      </w:r>
    </w:p>
    <w:p>
      <w:r>
        <w:rPr>
          <w:b/>
        </w:rPr>
        <w:t>Escalamiento al Gerente de Zona:</w:t>
      </w:r>
      <w:r>
        <w:t xml:space="preserve"> MXN 35,001 a MXN 75,000.</w:t>
      </w:r>
    </w:p>
    <w:p>
      <w:r>
        <w:rPr>
          <w:b/>
        </w:rPr>
        <w:t>Escalamiento a Riesgo Corporativo:</w:t>
      </w:r>
      <w:r>
        <w:t xml:space="preserve"> MXN 75,001 en adelante (requiere ticket ZD-ROC en BACE).</w:t>
      </w:r>
    </w:p>
    <w:p>
      <w:pPr>
        <w:pStyle w:val="Heading2"/>
      </w:pPr>
      <w:r>
        <w:rPr>
          <w:color w:val="0B2545"/>
        </w:rPr>
        <w:t>Paso 7 — Firma y entrega del contrato</w:t>
      </w:r>
    </w:p>
    <w:p>
      <w:r>
        <w:t>El asesor imprime el contrato en duplicado, explica los términos clave (monto, plazo, pago mensual, CAT, comisión por apertura). El cliente firma ambas copias. Una se entrega al cliente, otra se archiva en sucursal por 6 años.</w:t>
      </w:r>
    </w:p>
    <w:p>
      <w:pPr>
        <w:pStyle w:val="Heading2"/>
      </w:pPr>
      <w:r>
        <w:rPr>
          <w:color w:val="0B2545"/>
        </w:rPr>
        <w:t>Paso 8 — Entrega del bien o dispersión</w:t>
      </w:r>
    </w:p>
    <w:p>
      <w:r>
        <w:t>Para crédito PDV tradicional: el asesor dispara la nota de venta en la tienda y el cliente pasa a caja. Para tarjeta: se entrega en sucursal en la misma sesión (no esperar 3 días).</w:t>
      </w:r>
    </w:p>
    <w:p>
      <w:pPr>
        <w:pStyle w:val="Heading2"/>
      </w:pPr>
      <w:r>
        <w:rPr>
          <w:color w:val="0B2545"/>
        </w:rPr>
        <w:t>Paso 9 — Alta en sistema y cierre</w:t>
      </w:r>
    </w:p>
    <w:p>
      <w:r>
        <w:t>El asesor da de alta el crédito en el sistema central, genera el número de crédito, y cierra la sesión del cliente.</w:t>
      </w:r>
    </w:p>
    <w:p>
      <w:pPr>
        <w:pStyle w:val="Heading1"/>
      </w:pPr>
      <w:r>
        <w:rPr>
          <w:color w:val="0B2545"/>
        </w:rPr>
        <w:t>5. Puntos de Control Obligatorios</w:t>
      </w:r>
    </w:p>
    <w:p>
      <w:pPr>
        <w:pStyle w:val="ListNumber"/>
      </w:pPr>
      <w:r>
        <w:t>Verificación de vigencia de identificación (Paso 4).</w:t>
      </w:r>
    </w:p>
    <w:p>
      <w:pPr>
        <w:pStyle w:val="ListNumber"/>
      </w:pPr>
      <w:r>
        <w:t>Validación de domicilio — llamada al teléfono fijo si aparece en el comprobante (Paso 4).</w:t>
      </w:r>
    </w:p>
    <w:p>
      <w:pPr>
        <w:pStyle w:val="ListNumber"/>
      </w:pPr>
      <w:r>
        <w:t>Validación de referencias — al menos 1 de las 2 debe contestar durante la sesión.</w:t>
      </w:r>
    </w:p>
    <w:p>
      <w:pPr>
        <w:pStyle w:val="ListNumber"/>
      </w:pPr>
      <w:r>
        <w:t>Registro en BACE de que el asesor explicó el CAT al cliente (pantalla 17).</w:t>
      </w:r>
    </w:p>
    <w:p>
      <w:pPr>
        <w:pStyle w:val="ListNumber"/>
      </w:pPr>
      <w:r>
        <w:t>Firma del cliente en la sección de "Consentimiento para consulta de Buró".</w:t>
      </w:r>
    </w:p>
    <w:p>
      <w:pPr>
        <w:pStyle w:val="Heading1"/>
      </w:pPr>
      <w:r>
        <w:rPr>
          <w:color w:val="0B2545"/>
        </w:rPr>
        <w:t>6. Responsabilidades</w:t>
      </w:r>
    </w:p>
    <w:p>
      <w:pPr>
        <w:pStyle w:val="ListBullet"/>
      </w:pPr>
      <w:r>
        <w:rPr>
          <w:b/>
        </w:rPr>
        <w:t>Asesor de crédito:</w:t>
      </w:r>
      <w:r>
        <w:t xml:space="preserve"> ejecuta el procedimiento completo.</w:t>
      </w:r>
    </w:p>
    <w:p>
      <w:pPr>
        <w:pStyle w:val="ListBullet"/>
      </w:pPr>
      <w:r>
        <w:rPr>
          <w:b/>
        </w:rPr>
        <w:t>Supervisor de sucursal:</w:t>
      </w:r>
      <w:r>
        <w:t xml:space="preserve"> autoriza montos entre 12,001 y 35,000. Revisa expedientes en cierre de turno.</w:t>
      </w:r>
    </w:p>
    <w:p>
      <w:pPr>
        <w:pStyle w:val="ListBullet"/>
      </w:pPr>
      <w:r>
        <w:rPr>
          <w:b/>
        </w:rPr>
        <w:t>Gerente de tienda:</w:t>
      </w:r>
      <w:r>
        <w:t xml:space="preserve"> responsable de calidad operativa.</w:t>
      </w:r>
    </w:p>
    <w:p>
      <w:pPr>
        <w:pStyle w:val="ListBullet"/>
      </w:pPr>
      <w:r>
        <w:rPr>
          <w:b/>
        </w:rPr>
        <w:t>Gerente de Zona:</w:t>
      </w:r>
      <w:r>
        <w:t xml:space="preserve"> autoriza montos entre 35,001 y 75,000.</w:t>
      </w:r>
    </w:p>
    <w:p>
      <w:pPr>
        <w:pStyle w:val="ListBullet"/>
      </w:pPr>
      <w:r>
        <w:rPr>
          <w:b/>
        </w:rPr>
        <w:t>Riesgo Corporativo:</w:t>
      </w:r>
      <w:r>
        <w:t xml:space="preserve"> autoriza montos mayores a 75,000.</w:t>
      </w:r>
    </w:p>
    <w:p>
      <w:pPr>
        <w:pStyle w:val="ListBullet"/>
      </w:pPr>
      <w:r>
        <w:rPr>
          <w:b/>
        </w:rPr>
        <w:t>Área de Compliance:</w:t>
      </w:r>
      <w:r>
        <w:t xml:space="preserve"> audita 1% de expedientes mensualmente.</w:t>
      </w:r>
    </w:p>
    <w:p>
      <w:pPr>
        <w:pStyle w:val="Heading1"/>
      </w:pPr>
      <w:r>
        <w:rPr>
          <w:color w:val="0B2545"/>
        </w:rPr>
        <w:t>7. Registros Requeridos</w:t>
      </w:r>
    </w:p>
    <w:p>
      <w:r>
        <w:t>Se conserva por 6 años en el archivo físico de la sucursal:</w:t>
      </w:r>
    </w:p>
    <w:p>
      <w:pPr>
        <w:pStyle w:val="ListBullet"/>
      </w:pPr>
      <w:r>
        <w:t>Copia del contrato firmado</w:t>
      </w:r>
    </w:p>
    <w:p>
      <w:pPr>
        <w:pStyle w:val="ListBullet"/>
      </w:pPr>
      <w:r>
        <w:t>Copia de identificación del cliente</w:t>
      </w:r>
    </w:p>
    <w:p>
      <w:pPr>
        <w:pStyle w:val="ListBullet"/>
      </w:pPr>
      <w:r>
        <w:t>Copia del comprobante de domicilio</w:t>
      </w:r>
    </w:p>
    <w:p>
      <w:pPr>
        <w:pStyle w:val="ListBullet"/>
      </w:pPr>
      <w:r>
        <w:t>Copia del comprobante de ingresos</w:t>
      </w:r>
    </w:p>
    <w:p>
      <w:pPr>
        <w:pStyle w:val="ListBullet"/>
      </w:pPr>
      <w:r>
        <w:t>Registro BACE del crédito</w:t>
      </w:r>
    </w:p>
    <w:p>
      <w:pPr>
        <w:pStyle w:val="Heading1"/>
      </w:pPr>
      <w:r>
        <w:rPr>
          <w:color w:val="0B2545"/>
        </w:rPr>
        <w:t>8. Sanciones por Incumplimiento</w:t>
      </w:r>
    </w:p>
    <w:p>
      <w:pPr>
        <w:pStyle w:val="ListBullet"/>
      </w:pPr>
      <w:r>
        <w:t>Autorizar crédito sin uno de los 4 documentos del Paso 4: amonestación al asesor + reversión del crédito.</w:t>
      </w:r>
    </w:p>
    <w:p>
      <w:pPr>
        <w:pStyle w:val="ListBullet"/>
      </w:pPr>
      <w:r>
        <w:t>No explicar CAT al cliente: amonestación formal.</w:t>
      </w:r>
    </w:p>
    <w:p>
      <w:pPr>
        <w:pStyle w:val="ListBullet"/>
      </w:pPr>
      <w:r>
        <w:t>Falsificar documento de cliente: despido inmediato y denuncia penal.</w:t>
      </w:r>
    </w:p>
    <w:p>
      <w:pPr>
        <w:pBdr>
          <w:bottom w:val="single" w:sz="6" w:space="1" w:color="B0B6C2"/>
        </w:pBdr>
      </w:pPr>
    </w:p>
    <w:p>
      <w:r>
        <w:rPr>
          <w:b/>
        </w:rPr>
        <w:t>Aprobado por:</w:t>
      </w:r>
    </w:p>
    <w:p>
      <w:pPr>
        <w:pStyle w:val="ListBullet"/>
      </w:pPr>
      <w:r>
        <w:t>Dirección General Banco Azteca</w:t>
      </w:r>
    </w:p>
    <w:p>
      <w:pPr>
        <w:pStyle w:val="ListBullet"/>
      </w:pPr>
      <w:r>
        <w:t>Dirección de Riesgos de Crédito</w:t>
      </w:r>
    </w:p>
    <w:p>
      <w:pPr>
        <w:pStyle w:val="ListBullet"/>
      </w:pPr>
      <w:r>
        <w:t>Dirección Jurídica y Compliance</w:t>
      </w:r>
    </w:p>
    <w:p>
      <w:r>
        <w:rPr>
          <w:b/>
        </w:rPr>
        <w:t>Referencias regulatorias:</w:t>
      </w:r>
      <w:r>
        <w:t xml:space="preserve"> CNBV (CUB), Banxico (Circular 4/2012), CONDUSEF (Ley para la Transparencia y el Ordenamiento de los Servicios Financieros).</w:t>
      </w:r>
    </w:p>
    <w:p>
      <w:pPr>
        <w:pBdr>
          <w:bottom w:val="single" w:sz="6" w:space="1" w:color="B0B6C2"/>
        </w:pBdr>
      </w:pPr>
    </w:p>
    <w:p>
      <w:r>
        <w:rPr>
          <w:i/>
        </w:rPr>
        <w:t>Este manual se revisa mínimo cada 2 años. La última actualización formal es de mayo 2023.</w:t>
      </w:r>
    </w:p>
    <w:sectPr w:rsidR="00FC693F" w:rsidRPr="0006063C" w:rsidSect="00034616">
      <w:pgSz w:w="12240" w:h="15840"/>
      <w:pgMar w:top="1134" w:right="1247" w:bottom="1134" w:left="1247"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Calibri" w:hAnsi="Calibri"/>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Calibri" w:hAnsi="Calibri"/>
      <w:b/>
      <w:bCs/>
      <w:color w:val="0B2545"/>
      <w:sz w:val="40"/>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Calibri" w:hAnsi="Calibri"/>
      <w:b/>
      <w:bCs/>
      <w:color w:val="0B2545"/>
      <w:sz w:val="30"/>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ascii="Calibri" w:hAnsi="Calibri"/>
      <w:b/>
      <w:bCs/>
      <w:color w:val="0B2545"/>
      <w:sz w:val="26"/>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