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Campaign Playbook — Guía de Marca Grupo Salinas</w:t>
      </w:r>
    </w:p>
    <w:p>
      <w:pPr>
        <w:pStyle w:val="Heading1"/>
      </w:pPr>
      <w:r>
        <w:rPr>
          <w:color w:val="0B2545"/>
        </w:rPr>
        <w:t>Estándares de Comunicación para Campañas Multicanal</w:t>
      </w:r>
    </w:p>
    <w:p>
      <w:r>
        <w:rPr>
          <w:b/>
        </w:rPr>
        <w:t>Versión:</w:t>
      </w:r>
      <w:r>
        <w:t xml:space="preserve"> v3.1</w:t>
      </w:r>
    </w:p>
    <w:p>
      <w:r>
        <w:rPr>
          <w:b/>
        </w:rPr>
        <w:t>Fecha de actualización:</w:t>
      </w:r>
      <w:r>
        <w:t xml:space="preserve"> enero 2026</w:t>
      </w:r>
    </w:p>
    <w:p>
      <w:r>
        <w:rPr>
          <w:b/>
        </w:rPr>
        <w:t>Aplica a:</w:t>
      </w:r>
      <w:r>
        <w:t xml:space="preserve"> todas las unidades de negocio (Banco Azteca, Elektra, Totalplay, TV Azteca, Italika)</w:t>
      </w:r>
    </w:p>
    <w:p>
      <w:r>
        <w:rPr>
          <w:b/>
        </w:rPr>
        <w:t>Audiencia:</w:t>
      </w:r>
      <w:r>
        <w:t xml:space="preserve"> equipos de marketing, agencias creativas, proveedores de contenido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Propósito</w:t>
      </w:r>
    </w:p>
    <w:p>
      <w:r>
        <w:t>Este playbook garantiza que cualquier campaña que salga al mercado bajo alguna marca de Grupo Salinas tenga consistencia visual, tonal y regulatoria. Aplica a piezas creativas, copy, landing pages, emails, SMS, redes sociales y medios tradicionales.</w:t>
      </w:r>
    </w:p>
    <w:p>
      <w:pPr>
        <w:pStyle w:val="Heading1"/>
      </w:pPr>
      <w:r>
        <w:rPr>
          <w:color w:val="0B2545"/>
        </w:rPr>
        <w:t>2. Los 5 principios de voz Grupo Salinas</w:t>
      </w:r>
    </w:p>
    <w:p>
      <w:pPr>
        <w:pStyle w:val="Heading2"/>
      </w:pPr>
      <w:r>
        <w:rPr>
          <w:color w:val="0B2545"/>
        </w:rPr>
        <w:t>Principio 1 — Directo, no aspiracional vacío</w:t>
      </w:r>
    </w:p>
    <w:p>
      <w:r>
        <w:t>Evitar frases que no dicen nada: "la revolución financiera", "más allá del límite", "transformando vidas". Preferir cifras concretas y beneficios específicos.</w:t>
      </w:r>
    </w:p>
    <w:p>
      <w:pPr>
        <w:pStyle w:val="Heading2"/>
      </w:pPr>
      <w:r>
        <w:rPr>
          <w:color w:val="0B2545"/>
        </w:rPr>
        <w:t>Principio 2 — Respetuoso del cliente, nunca condescendiente</w:t>
      </w:r>
    </w:p>
    <w:p>
      <w:r>
        <w:t>Hablar AL segmento C/D como a adultos inteligentes. Evitar tono paternalista tipo "nosotros cuidamos de ti" o "te enseñamos a usarlo". Ellos saben — les faltaba acceso.</w:t>
      </w:r>
    </w:p>
    <w:p>
      <w:pPr>
        <w:pStyle w:val="Heading2"/>
      </w:pPr>
      <w:r>
        <w:rPr>
          <w:color w:val="0B2545"/>
        </w:rPr>
        <w:t>Principio 3 — Claro sobre costos, nunca letra chiquita</w:t>
      </w:r>
    </w:p>
    <w:p>
      <w:r>
        <w:t>El CAT, anualidad, comisiones y términos deben ser visibles en la primera pantalla/impresión. NUNCA escondidos en asterisco o legal al pie. Es principio de marca, no solo regulatorio.</w:t>
      </w:r>
    </w:p>
    <w:p>
      <w:pPr>
        <w:pStyle w:val="Heading2"/>
      </w:pPr>
      <w:r>
        <w:rPr>
          <w:color w:val="0B2545"/>
        </w:rPr>
        <w:t>Principio 4 — Mexicano de verdad, sin mexicanadas</w:t>
      </w:r>
    </w:p>
    <w:p>
      <w:r>
        <w:t>Usamos español de México real, no "mexicano de agencia" con mayorazgos falsos. Evitar "chido", "padrísimo", "a huevo" como recurso creativo — suenan forzados. La naturalidad viene del ritmo y las referencias culturales auténticas.</w:t>
      </w:r>
    </w:p>
    <w:p>
      <w:pPr>
        <w:pStyle w:val="Heading2"/>
      </w:pPr>
      <w:r>
        <w:rPr>
          <w:color w:val="0B2545"/>
        </w:rPr>
        <w:t>Principio 5 — Grupo Salinas es una familia de marcas, no una sola</w:t>
      </w:r>
    </w:p>
    <w:p>
      <w:r>
        <w:t>Cada marca (Banco Azteca, Elektra, Totalplay, TV Azteca, Italika) tiene su tono propio. Banco Azteca es firme y confiable. Elektra es cercana y aspiracional. Totalplay es moderna y técnica. Nunca confundir tonos entre marcas.</w:t>
      </w:r>
    </w:p>
    <w:p>
      <w:pPr>
        <w:pStyle w:val="Heading1"/>
      </w:pPr>
      <w:r>
        <w:rPr>
          <w:color w:val="0B2545"/>
        </w:rPr>
        <w:t>3. Paleta de colores oficial</w:t>
      </w:r>
    </w:p>
    <w:p>
      <w:pPr>
        <w:pStyle w:val="Heading2"/>
      </w:pPr>
      <w:r>
        <w:rPr>
          <w:color w:val="0B2545"/>
        </w:rPr>
        <w:t>Banco Azteca</w:t>
      </w:r>
    </w:p>
    <w:p>
      <w:pPr>
        <w:pStyle w:val="ListBullet"/>
      </w:pPr>
      <w:r>
        <w:t xml:space="preserve">Primario: </w:t>
      </w:r>
      <w:r>
        <w:rPr>
          <w:b/>
        </w:rPr>
        <w:t>#005F1F</w:t>
      </w:r>
      <w:r>
        <w:t xml:space="preserve"> (verde Azteca profundo)</w:t>
      </w:r>
    </w:p>
    <w:p>
      <w:pPr>
        <w:pStyle w:val="ListBullet"/>
      </w:pPr>
      <w:r>
        <w:t xml:space="preserve">Secundario: </w:t>
      </w:r>
      <w:r>
        <w:rPr>
          <w:b/>
        </w:rPr>
        <w:t>#F4B800</w:t>
      </w:r>
      <w:r>
        <w:t xml:space="preserve"> (dorado)</w:t>
      </w:r>
    </w:p>
    <w:p>
      <w:pPr>
        <w:pStyle w:val="ListBullet"/>
      </w:pPr>
      <w:r>
        <w:t xml:space="preserve">Acento: </w:t>
      </w:r>
      <w:r>
        <w:rPr>
          <w:b/>
        </w:rPr>
        <w:t>#E63946</w:t>
      </w:r>
      <w:r>
        <w:t xml:space="preserve"> (rojo acción)</w:t>
      </w:r>
    </w:p>
    <w:p>
      <w:pPr>
        <w:pStyle w:val="ListBullet"/>
      </w:pPr>
      <w:r>
        <w:t xml:space="preserve">Neutral: </w:t>
      </w:r>
      <w:r>
        <w:rPr>
          <w:b/>
        </w:rPr>
        <w:t>#F5F5F5</w:t>
      </w:r>
      <w:r>
        <w:t xml:space="preserve"> (gris claro) y </w:t>
      </w:r>
      <w:r>
        <w:rPr>
          <w:b/>
        </w:rPr>
        <w:t>#1A1A1A</w:t>
      </w:r>
      <w:r>
        <w:t xml:space="preserve"> (negro)</w:t>
      </w:r>
    </w:p>
    <w:p>
      <w:pPr>
        <w:pStyle w:val="Heading2"/>
      </w:pPr>
      <w:r>
        <w:rPr>
          <w:color w:val="0B2545"/>
        </w:rPr>
        <w:t>Elektra</w:t>
      </w:r>
    </w:p>
    <w:p>
      <w:pPr>
        <w:pStyle w:val="ListBullet"/>
      </w:pPr>
      <w:r>
        <w:t xml:space="preserve">Primario: </w:t>
      </w:r>
      <w:r>
        <w:rPr>
          <w:b/>
        </w:rPr>
        <w:t>#E30613</w:t>
      </w:r>
      <w:r>
        <w:t xml:space="preserve"> (rojo Elektra)</w:t>
      </w:r>
    </w:p>
    <w:p>
      <w:pPr>
        <w:pStyle w:val="ListBullet"/>
      </w:pPr>
      <w:r>
        <w:t xml:space="preserve">Secundario: </w:t>
      </w:r>
      <w:r>
        <w:rPr>
          <w:b/>
        </w:rPr>
        <w:t>#FFFFFF</w:t>
      </w:r>
      <w:r>
        <w:t xml:space="preserve"> (blanco)</w:t>
      </w:r>
    </w:p>
    <w:p>
      <w:pPr>
        <w:pStyle w:val="ListBullet"/>
      </w:pPr>
      <w:r>
        <w:t xml:space="preserve">Acento: </w:t>
      </w:r>
      <w:r>
        <w:rPr>
          <w:b/>
        </w:rPr>
        <w:t>#FFD400</w:t>
      </w:r>
      <w:r>
        <w:t xml:space="preserve"> (amarillo promo)</w:t>
      </w:r>
    </w:p>
    <w:p>
      <w:pPr>
        <w:pStyle w:val="Heading2"/>
      </w:pPr>
      <w:r>
        <w:rPr>
          <w:color w:val="0B2545"/>
        </w:rPr>
        <w:t>Totalplay</w:t>
      </w:r>
    </w:p>
    <w:p>
      <w:pPr>
        <w:pStyle w:val="ListBullet"/>
      </w:pPr>
      <w:r>
        <w:t xml:space="preserve">Primario: </w:t>
      </w:r>
      <w:r>
        <w:rPr>
          <w:b/>
        </w:rPr>
        <w:t>#00A3E0</w:t>
      </w:r>
      <w:r>
        <w:t xml:space="preserve"> (azul Totalplay)</w:t>
      </w:r>
    </w:p>
    <w:p>
      <w:pPr>
        <w:pStyle w:val="ListBullet"/>
      </w:pPr>
      <w:r>
        <w:t xml:space="preserve">Secundario: </w:t>
      </w:r>
      <w:r>
        <w:rPr>
          <w:b/>
        </w:rPr>
        <w:t>#001F3F</w:t>
      </w:r>
      <w:r>
        <w:t xml:space="preserve"> (navy)</w:t>
      </w:r>
    </w:p>
    <w:p>
      <w:pPr>
        <w:pStyle w:val="ListBullet"/>
      </w:pPr>
      <w:r>
        <w:t xml:space="preserve">Acento: </w:t>
      </w:r>
      <w:r>
        <w:rPr>
          <w:b/>
        </w:rPr>
        <w:t>#FF6B00</w:t>
      </w:r>
      <w:r>
        <w:t xml:space="preserve"> (naranja CTA)</w:t>
      </w:r>
    </w:p>
    <w:p>
      <w:pPr>
        <w:pStyle w:val="Heading2"/>
      </w:pPr>
      <w:r>
        <w:rPr>
          <w:color w:val="0B2545"/>
        </w:rPr>
        <w:t>Italika</w:t>
      </w:r>
    </w:p>
    <w:p>
      <w:pPr>
        <w:pStyle w:val="ListBullet"/>
      </w:pPr>
      <w:r>
        <w:t xml:space="preserve">Primario: </w:t>
      </w:r>
      <w:r>
        <w:rPr>
          <w:b/>
        </w:rPr>
        <w:t>#ED1C24</w:t>
      </w:r>
      <w:r>
        <w:t xml:space="preserve"> (rojo Italika)</w:t>
      </w:r>
    </w:p>
    <w:p>
      <w:pPr>
        <w:pStyle w:val="ListBullet"/>
      </w:pPr>
      <w:r>
        <w:t xml:space="preserve">Secundario: </w:t>
      </w:r>
      <w:r>
        <w:rPr>
          <w:b/>
        </w:rPr>
        <w:t>#000000</w:t>
      </w:r>
      <w:r>
        <w:t xml:space="preserve"> (negro moto)</w:t>
      </w:r>
    </w:p>
    <w:p>
      <w:pPr>
        <w:pStyle w:val="Heading2"/>
      </w:pPr>
      <w:r>
        <w:rPr>
          <w:color w:val="0B2545"/>
        </w:rPr>
        <w:t>Grupo Salinas Corporativo</w:t>
      </w:r>
    </w:p>
    <w:p>
      <w:pPr>
        <w:pStyle w:val="ListBullet"/>
      </w:pPr>
      <w:r>
        <w:t xml:space="preserve">Primario: </w:t>
      </w:r>
      <w:r>
        <w:rPr>
          <w:b/>
        </w:rPr>
        <w:t>#0B2545</w:t>
      </w:r>
      <w:r>
        <w:t xml:space="preserve"> (navy Grupo Salinas)</w:t>
      </w:r>
    </w:p>
    <w:p>
      <w:pPr>
        <w:pStyle w:val="ListBullet"/>
      </w:pPr>
      <w:r>
        <w:t xml:space="preserve">Secundario: </w:t>
      </w:r>
      <w:r>
        <w:rPr>
          <w:b/>
        </w:rPr>
        <w:t>#F7F7F9</w:t>
      </w:r>
      <w:r>
        <w:t xml:space="preserve"> (fondo claro)</w:t>
      </w:r>
    </w:p>
    <w:p>
      <w:pPr>
        <w:pStyle w:val="ListBullet"/>
      </w:pPr>
      <w:r>
        <w:t xml:space="preserve">Acento: </w:t>
      </w:r>
      <w:r>
        <w:rPr>
          <w:b/>
        </w:rPr>
        <w:t>#E63946</w:t>
      </w:r>
    </w:p>
    <w:p>
      <w:pPr>
        <w:pStyle w:val="Heading1"/>
      </w:pPr>
      <w:r>
        <w:rPr>
          <w:color w:val="0B2545"/>
        </w:rPr>
        <w:t>4. Tipografía</w:t>
      </w:r>
    </w:p>
    <w:p>
      <w:r>
        <w:rPr>
          <w:b/>
        </w:rPr>
        <w:t>Títulos y encabezados:</w:t>
      </w:r>
    </w:p>
    <w:p>
      <w:pPr>
        <w:pStyle w:val="ListBullet"/>
      </w:pPr>
      <w:r>
        <w:t>Primera opción: Inter, Roboto, Helvetica Neue (sans-serif limpias)</w:t>
      </w:r>
    </w:p>
    <w:p>
      <w:pPr>
        <w:pStyle w:val="ListBullet"/>
      </w:pPr>
      <w:r>
        <w:t>NUNCA: Comic Sans, Papyrus, fuentes display extravagantes</w:t>
      </w:r>
    </w:p>
    <w:p>
      <w:r>
        <w:rPr>
          <w:b/>
        </w:rPr>
        <w:t>Cuerpo de texto:</w:t>
      </w:r>
    </w:p>
    <w:p>
      <w:pPr>
        <w:pStyle w:val="ListBullet"/>
      </w:pPr>
      <w:r>
        <w:t>Inter regular, o system-ui equivalente</w:t>
      </w:r>
    </w:p>
    <w:p>
      <w:pPr>
        <w:pStyle w:val="ListBullet"/>
      </w:pPr>
      <w:r>
        <w:t>Tamaño mínimo para legibilidad en móvil: 16px</w:t>
      </w:r>
    </w:p>
    <w:p>
      <w:r>
        <w:rPr>
          <w:b/>
        </w:rPr>
        <w:t>Jerarquía:</w:t>
      </w:r>
    </w:p>
    <w:p>
      <w:pPr>
        <w:pStyle w:val="ListBullet"/>
      </w:pPr>
      <w:r>
        <w:t>H1: 32-48px (móvil) / 48-72px (desktop)</w:t>
      </w:r>
    </w:p>
    <w:p>
      <w:pPr>
        <w:pStyle w:val="ListBullet"/>
      </w:pPr>
      <w:r>
        <w:t>H2: 24-32px / 32-48px</w:t>
      </w:r>
    </w:p>
    <w:p>
      <w:pPr>
        <w:pStyle w:val="ListBullet"/>
      </w:pPr>
      <w:r>
        <w:t>Body: 16-18px</w:t>
      </w:r>
    </w:p>
    <w:p>
      <w:pPr>
        <w:pStyle w:val="ListBullet"/>
      </w:pPr>
      <w:r>
        <w:t>Caption/disclaimer: 12-14px mínimo (legible pero secundario)</w:t>
      </w:r>
    </w:p>
    <w:p>
      <w:pPr>
        <w:pStyle w:val="Heading1"/>
      </w:pPr>
      <w:r>
        <w:rPr>
          <w:color w:val="0B2545"/>
        </w:rPr>
        <w:t>5. Reglas para landing pages</w:t>
      </w:r>
    </w:p>
    <w:p>
      <w:pPr>
        <w:pStyle w:val="Heading2"/>
      </w:pPr>
      <w:r>
        <w:rPr>
          <w:color w:val="0B2545"/>
        </w:rPr>
        <w:t>Estructura obligatoria (de arriba abajo)</w:t>
      </w:r>
    </w:p>
    <w:p>
      <w:pPr>
        <w:pStyle w:val="ListNumber"/>
      </w:pPr>
      <w:r>
        <w:rPr>
          <w:b/>
        </w:rPr>
        <w:t>Hero con propuesta de valor clara</w:t>
      </w:r>
      <w:r>
        <w:t xml:space="preserve"> — debe responder "qué gano" en 3 segundos.</w:t>
      </w:r>
    </w:p>
    <w:p>
      <w:pPr>
        <w:pStyle w:val="ListNumber"/>
      </w:pPr>
      <w:r>
        <w:rPr>
          <w:b/>
        </w:rPr>
        <w:t>Call to Action primario visible</w:t>
      </w:r>
      <w:r>
        <w:t xml:space="preserve"> — arriba del fold (sin scroll).</w:t>
      </w:r>
    </w:p>
    <w:p>
      <w:pPr>
        <w:pStyle w:val="ListNumber"/>
      </w:pPr>
      <w:r>
        <w:rPr>
          <w:b/>
        </w:rPr>
        <w:t>3-4 beneficios clave</w:t>
      </w:r>
      <w:r>
        <w:t xml:space="preserve"> — con íconos simples, una línea cada uno.</w:t>
      </w:r>
    </w:p>
    <w:p>
      <w:pPr>
        <w:pStyle w:val="ListNumber"/>
      </w:pPr>
      <w:r>
        <w:rPr>
          <w:b/>
        </w:rPr>
        <w:t>Prueba social</w:t>
      </w:r>
      <w:r>
        <w:t xml:space="preserve"> — testimonios, números de usuarios, logos de medios.</w:t>
      </w:r>
    </w:p>
    <w:p>
      <w:pPr>
        <w:pStyle w:val="ListNumber"/>
      </w:pPr>
      <w:r>
        <w:rPr>
          <w:b/>
        </w:rPr>
        <w:t>Mecánica del producto</w:t>
      </w:r>
      <w:r>
        <w:t xml:space="preserve"> — cómo funciona, en 3-4 pasos.</w:t>
      </w:r>
    </w:p>
    <w:p>
      <w:pPr>
        <w:pStyle w:val="ListNumber"/>
      </w:pPr>
      <w:r>
        <w:rPr>
          <w:b/>
        </w:rPr>
        <w:t>Segundo CTA</w:t>
      </w:r>
      <w:r>
        <w:t xml:space="preserve"> al final de la página.</w:t>
      </w:r>
    </w:p>
    <w:p>
      <w:pPr>
        <w:pStyle w:val="ListNumber"/>
      </w:pPr>
      <w:r>
        <w:rPr>
          <w:b/>
        </w:rPr>
        <w:t>Footer con disclaimers regulatorios completos.</w:t>
      </w:r>
    </w:p>
    <w:p>
      <w:pPr>
        <w:pStyle w:val="Heading2"/>
      </w:pPr>
      <w:r>
        <w:rPr>
          <w:color w:val="0B2545"/>
        </w:rPr>
        <w:t>Reglas de UX móvil</w:t>
      </w:r>
    </w:p>
    <w:p>
      <w:pPr>
        <w:pStyle w:val="ListBullet"/>
      </w:pPr>
      <w:r>
        <w:t>80% del tráfico es móvil. Diseñar mobile-first sin excepciones.</w:t>
      </w:r>
    </w:p>
    <w:p>
      <w:pPr>
        <w:pStyle w:val="ListBullet"/>
      </w:pPr>
      <w:r>
        <w:t>Botones de CTA: mínimo 48px de alto, texto contrastante.</w:t>
      </w:r>
    </w:p>
    <w:p>
      <w:pPr>
        <w:pStyle w:val="ListBullet"/>
      </w:pPr>
      <w:r>
        <w:t>Formularios: máximo 3 campos en primera pantalla.</w:t>
      </w:r>
    </w:p>
    <w:p>
      <w:pPr>
        <w:pStyle w:val="ListBullet"/>
      </w:pPr>
      <w:r>
        <w:t>Tiempo de carga objetivo: &lt; 2 segundos.</w:t>
      </w:r>
    </w:p>
    <w:p>
      <w:pPr>
        <w:pStyle w:val="ListBullet"/>
      </w:pPr>
      <w:r>
        <w:t>Accesibilidad: contraste WCAG AA mínimo.</w:t>
      </w:r>
    </w:p>
    <w:p>
      <w:pPr>
        <w:pStyle w:val="Heading2"/>
      </w:pPr>
      <w:r>
        <w:rPr>
          <w:color w:val="0B2545"/>
        </w:rPr>
        <w:t>Elementos interactivos</w:t>
      </w:r>
    </w:p>
    <w:p>
      <w:pPr>
        <w:pStyle w:val="ListBullet"/>
      </w:pPr>
      <w:r>
        <w:t>Calculadoras y simuladores aumentan conversión 35-50%.</w:t>
      </w:r>
    </w:p>
    <w:p>
      <w:pPr>
        <w:pStyle w:val="ListBullet"/>
      </w:pPr>
      <w:r>
        <w:t>Deben ser simples: máximo 2 inputs, resultado inmediato.</w:t>
      </w:r>
    </w:p>
    <w:p>
      <w:pPr>
        <w:pStyle w:val="ListBullet"/>
      </w:pPr>
      <w:r>
        <w:t>Transparencia: mostrar siempre supuestos del cálculo.</w:t>
      </w:r>
    </w:p>
    <w:p>
      <w:pPr>
        <w:pStyle w:val="Heading1"/>
      </w:pPr>
      <w:r>
        <w:rPr>
          <w:color w:val="0B2545"/>
        </w:rPr>
        <w:t>6. Disclaimers regulatorios obligatorios</w:t>
      </w:r>
    </w:p>
    <w:p>
      <w:pPr>
        <w:pStyle w:val="Heading2"/>
      </w:pPr>
      <w:r>
        <w:rPr>
          <w:color w:val="0B2545"/>
        </w:rPr>
        <w:t>Para productos de crédito (Banco Azteca)</w:t>
      </w:r>
    </w:p>
    <w:p>
      <w:r>
        <w:t>En TODA pieza donde se mencione crédito, tarjeta, o tasa:</w:t>
      </w:r>
    </w:p>
    <w:p>
      <w:pPr>
        <w:pStyle w:val="ListBullet"/>
      </w:pPr>
      <w:r>
        <w:t>Razón social completa: "Banco Azteca, S.A. Institución de Banca Múltiple."</w:t>
      </w:r>
    </w:p>
    <w:p>
      <w:pPr>
        <w:pStyle w:val="ListBullet"/>
      </w:pPr>
      <w:r>
        <w:t>CAT promedio con asterisco y explicación: "CAT 42% promedio sin IVA, para fines informativos y de comparación."</w:t>
      </w:r>
    </w:p>
    <w:p>
      <w:pPr>
        <w:pStyle w:val="ListBullet"/>
      </w:pPr>
      <w:r>
        <w:t>Texto: "Sujeto a aprobación de crédito."</w:t>
      </w:r>
    </w:p>
    <w:p>
      <w:pPr>
        <w:pStyle w:val="ListBullet"/>
      </w:pPr>
      <w:r>
        <w:t>Liga a términos y condiciones completos.</w:t>
      </w:r>
    </w:p>
    <w:p>
      <w:pPr>
        <w:pStyle w:val="ListBullet"/>
      </w:pPr>
      <w:r>
        <w:t>Si aplica: número de oficio CNBV de aprobación del producto.</w:t>
      </w:r>
    </w:p>
    <w:p>
      <w:pPr>
        <w:pStyle w:val="Heading2"/>
      </w:pPr>
      <w:r>
        <w:rPr>
          <w:color w:val="0B2545"/>
        </w:rPr>
        <w:t>Para productos de telecomunicaciones (Totalplay)</w:t>
      </w:r>
    </w:p>
    <w:p>
      <w:pPr>
        <w:pStyle w:val="ListBullet"/>
      </w:pPr>
      <w:r>
        <w:t>Velocidades aclaradas como "hasta X Mbps, sujeto a capacidad y cobertura."</w:t>
      </w:r>
    </w:p>
    <w:p>
      <w:pPr>
        <w:pStyle w:val="ListBullet"/>
      </w:pPr>
      <w:r>
        <w:t>Precios mensuales con aclaración de plazos mínimos.</w:t>
      </w:r>
    </w:p>
    <w:p>
      <w:pPr>
        <w:pStyle w:val="ListBullet"/>
      </w:pPr>
      <w:r>
        <w:t>Número IFT del servicio.</w:t>
      </w:r>
    </w:p>
    <w:p>
      <w:pPr>
        <w:pStyle w:val="Heading2"/>
      </w:pPr>
      <w:r>
        <w:rPr>
          <w:color w:val="0B2545"/>
        </w:rPr>
        <w:t>Para Elektra / retail</w:t>
      </w:r>
    </w:p>
    <w:p>
      <w:pPr>
        <w:pStyle w:val="ListBullet"/>
      </w:pPr>
      <w:r>
        <w:t>Precios vigentes con fecha de promoción.</w:t>
      </w:r>
    </w:p>
    <w:p>
      <w:pPr>
        <w:pStyle w:val="ListBullet"/>
      </w:pPr>
      <w:r>
        <w:t>Existencia limitada declarada.</w:t>
      </w:r>
    </w:p>
    <w:p>
      <w:pPr>
        <w:pStyle w:val="ListBullet"/>
      </w:pPr>
      <w:r>
        <w:t>Número de permiso de PROFECO si aplica.</w:t>
      </w:r>
    </w:p>
    <w:p>
      <w:pPr>
        <w:pStyle w:val="Heading1"/>
      </w:pPr>
      <w:r>
        <w:rPr>
          <w:color w:val="0B2545"/>
        </w:rPr>
        <w:t>7. Reglas para redes sociales</w:t>
      </w:r>
    </w:p>
    <w:p>
      <w:pPr>
        <w:pStyle w:val="Heading2"/>
      </w:pPr>
      <w:r>
        <w:rPr>
          <w:color w:val="0B2545"/>
        </w:rPr>
        <w:t>Instagram + TikTok</w:t>
      </w:r>
    </w:p>
    <w:p>
      <w:pPr>
        <w:pStyle w:val="ListBullet"/>
      </w:pPr>
      <w:r>
        <w:t>Videos: 15-30 segundos máximo para captación.</w:t>
      </w:r>
    </w:p>
    <w:p>
      <w:pPr>
        <w:pStyle w:val="ListBullet"/>
      </w:pPr>
      <w:r>
        <w:t>Subtítulos obligatorios (85% de videos se ven sin audio en móvil).</w:t>
      </w:r>
    </w:p>
    <w:p>
      <w:pPr>
        <w:pStyle w:val="ListBullet"/>
      </w:pPr>
      <w:r>
        <w:t>Primer segundo: gancho visual o pregunta.</w:t>
      </w:r>
    </w:p>
    <w:p>
      <w:pPr>
        <w:pStyle w:val="ListBullet"/>
      </w:pPr>
      <w:r>
        <w:t>CTA al final con liga en bio, no en el video mismo (política de plataformas).</w:t>
      </w:r>
    </w:p>
    <w:p>
      <w:pPr>
        <w:pStyle w:val="Heading2"/>
      </w:pPr>
      <w:r>
        <w:rPr>
          <w:color w:val="0B2545"/>
        </w:rPr>
        <w:t>LinkedIn (segmento profesionistas)</w:t>
      </w:r>
    </w:p>
    <w:p>
      <w:pPr>
        <w:pStyle w:val="ListBullet"/>
      </w:pPr>
      <w:r>
        <w:t>Tono más sobrio y de datos.</w:t>
      </w:r>
    </w:p>
    <w:p>
      <w:pPr>
        <w:pStyle w:val="ListBullet"/>
      </w:pPr>
      <w:r>
        <w:t>Copy largo funciona si arranca con gancho fuerte.</w:t>
      </w:r>
    </w:p>
    <w:p>
      <w:pPr>
        <w:pStyle w:val="ListBullet"/>
      </w:pPr>
      <w:r>
        <w:t>Incluir insights del sector, no solo producto.</w:t>
      </w:r>
    </w:p>
    <w:p>
      <w:pPr>
        <w:pStyle w:val="Heading2"/>
      </w:pPr>
      <w:r>
        <w:rPr>
          <w:color w:val="0B2545"/>
        </w:rPr>
        <w:t>Email</w:t>
      </w:r>
    </w:p>
    <w:p>
      <w:pPr>
        <w:pStyle w:val="ListBullet"/>
      </w:pPr>
      <w:r>
        <w:t>Asunto: máximo 50 caracteres.</w:t>
      </w:r>
    </w:p>
    <w:p>
      <w:pPr>
        <w:pStyle w:val="ListBullet"/>
      </w:pPr>
      <w:r>
        <w:t>Pre-header: 100 caracteres explicando valor.</w:t>
      </w:r>
    </w:p>
    <w:p>
      <w:pPr>
        <w:pStyle w:val="ListBullet"/>
      </w:pPr>
      <w:r>
        <w:t>Una sola CTA primaria por email.</w:t>
      </w:r>
    </w:p>
    <w:p>
      <w:pPr>
        <w:pStyle w:val="ListBullet"/>
      </w:pPr>
      <w:r>
        <w:t>Responsive design obligatorio.</w:t>
      </w:r>
    </w:p>
    <w:p>
      <w:pPr>
        <w:pStyle w:val="Heading2"/>
      </w:pPr>
      <w:r>
        <w:rPr>
          <w:color w:val="0B2545"/>
        </w:rPr>
        <w:t>SMS</w:t>
      </w:r>
    </w:p>
    <w:p>
      <w:pPr>
        <w:pStyle w:val="ListBullet"/>
      </w:pPr>
      <w:r>
        <w:t>Máximo 160 caracteres con liga.</w:t>
      </w:r>
    </w:p>
    <w:p>
      <w:pPr>
        <w:pStyle w:val="ListBullet"/>
      </w:pPr>
      <w:r>
        <w:t>Identificación explícita de Banco Azteca al inicio.</w:t>
      </w:r>
    </w:p>
    <w:p>
      <w:pPr>
        <w:pStyle w:val="ListBullet"/>
      </w:pPr>
      <w:r>
        <w:t>Opt-out en ley: "Responde BAJA para no recibir."</w:t>
      </w:r>
    </w:p>
    <w:p>
      <w:pPr>
        <w:pStyle w:val="Heading1"/>
      </w:pPr>
      <w:r>
        <w:rPr>
          <w:color w:val="0B2545"/>
        </w:rPr>
        <w:t>8. Frases prohibidas</w:t>
      </w:r>
    </w:p>
    <w:p>
      <w:r>
        <w:t>Estas frases nunca deben aparecer en comunicación Grupo Salinas:</w:t>
      </w:r>
    </w:p>
    <w:p>
      <w:pPr>
        <w:pStyle w:val="ListNumber"/>
      </w:pPr>
      <w:r>
        <w:t>"Cambia tu vida" — promesa imposible de cumplir.</w:t>
      </w:r>
    </w:p>
    <w:p>
      <w:pPr>
        <w:pStyle w:val="ListNumber"/>
      </w:pPr>
      <w:r>
        <w:t>"La mejor del mercado" — legalmente cuestionable sin pruebas.</w:t>
      </w:r>
    </w:p>
    <w:p>
      <w:pPr>
        <w:pStyle w:val="ListNumber"/>
      </w:pPr>
      <w:r>
        <w:t>"100% seguro" — nada lo es, suena engañoso.</w:t>
      </w:r>
    </w:p>
    <w:p>
      <w:pPr>
        <w:pStyle w:val="ListNumber"/>
      </w:pPr>
      <w:r>
        <w:t>"Sin riesgos" — para productos financieros es falso.</w:t>
      </w:r>
    </w:p>
    <w:p>
      <w:pPr>
        <w:pStyle w:val="ListNumber"/>
      </w:pPr>
      <w:r>
        <w:t>"Hasta mañana" — urgencia falsa, arriesga credibilidad.</w:t>
      </w:r>
    </w:p>
    <w:p>
      <w:pPr>
        <w:pStyle w:val="ListNumber"/>
      </w:pPr>
      <w:r>
        <w:t>"Solo por tiempo limitado" (sin fecha específica) — genérico y manipulador.</w:t>
      </w:r>
    </w:p>
    <w:p>
      <w:pPr>
        <w:pStyle w:val="ListNumber"/>
      </w:pPr>
      <w:r>
        <w:t>"Oferta exclusiva" (si no es realmente exclusiva) — erosiona confianza.</w:t>
      </w:r>
    </w:p>
    <w:p>
      <w:pPr>
        <w:pStyle w:val="ListNumber"/>
      </w:pPr>
      <w:r>
        <w:t>"Compra ahora" — demasiado agresivo para segmento C/D.</w:t>
      </w:r>
    </w:p>
    <w:p>
      <w:pPr>
        <w:pStyle w:val="Heading1"/>
      </w:pPr>
      <w:r>
        <w:rPr>
          <w:color w:val="0B2545"/>
        </w:rPr>
        <w:t>9. Frases preferidas</w:t>
      </w:r>
    </w:p>
    <w:p>
      <w:pPr>
        <w:pStyle w:val="ListNumber"/>
      </w:pPr>
      <w:r>
        <w:t>"A partir de hoy" — inicia sin urgencia falsa.</w:t>
      </w:r>
    </w:p>
    <w:p>
      <w:pPr>
        <w:pStyle w:val="ListNumber"/>
      </w:pPr>
      <w:r>
        <w:t>"Sin anualidad verdadera, sin letra chiquita."</w:t>
      </w:r>
    </w:p>
    <w:p>
      <w:pPr>
        <w:pStyle w:val="ListNumber"/>
      </w:pPr>
      <w:r>
        <w:t>"Diseñada para ti — y para tus tiempos."</w:t>
      </w:r>
    </w:p>
    <w:p>
      <w:pPr>
        <w:pStyle w:val="ListNumber"/>
      </w:pPr>
      <w:r>
        <w:t>"Lo pedís, lo recoges hoy en Elektra."</w:t>
      </w:r>
    </w:p>
    <w:p>
      <w:pPr>
        <w:pStyle w:val="ListNumber"/>
      </w:pPr>
      <w:r>
        <w:t>"Te decimos exactamente cuánto pagas."</w:t>
      </w:r>
    </w:p>
    <w:p>
      <w:pPr>
        <w:pStyle w:val="ListNumber"/>
      </w:pPr>
      <w:r>
        <w:t>"Construye tu crédito con transparencia."</w:t>
      </w:r>
    </w:p>
    <w:p>
      <w:pPr>
        <w:pStyle w:val="Heading1"/>
      </w:pPr>
      <w:r>
        <w:rPr>
          <w:color w:val="0B2545"/>
        </w:rPr>
        <w:t>10. Checklist de aprobación antes de lanzamiento</w:t>
      </w:r>
    </w:p>
    <w:p>
      <w:r>
        <w:t>Toda pieza creativa debe pasar este filtro:</w:t>
      </w:r>
    </w:p>
    <w:p>
      <w:pPr>
        <w:pStyle w:val="ListBullet"/>
      </w:pPr>
      <w:r>
        <w:t>[ ] ¿Los colores son los oficiales de la marca correspondiente?</w:t>
      </w:r>
    </w:p>
    <w:p>
      <w:pPr>
        <w:pStyle w:val="ListBullet"/>
      </w:pPr>
      <w:r>
        <w:t>[ ] ¿La tipografía cumple estándares de legibilidad móvil?</w:t>
      </w:r>
    </w:p>
    <w:p>
      <w:pPr>
        <w:pStyle w:val="ListBullet"/>
      </w:pPr>
      <w:r>
        <w:t>[ ] ¿Los disclaimers regulatorios están presentes y legibles?</w:t>
      </w:r>
    </w:p>
    <w:p>
      <w:pPr>
        <w:pStyle w:val="ListBullet"/>
      </w:pPr>
      <w:r>
        <w:t>[ ] ¿El CAT o precio clave está visible sin scroll?</w:t>
      </w:r>
    </w:p>
    <w:p>
      <w:pPr>
        <w:pStyle w:val="ListBullet"/>
      </w:pPr>
      <w:r>
        <w:t>[ ] ¿El CTA primario es claro y contrastante?</w:t>
      </w:r>
    </w:p>
    <w:p>
      <w:pPr>
        <w:pStyle w:val="ListBullet"/>
      </w:pPr>
      <w:r>
        <w:t>[ ] ¿La pieza está libre de las 8 frases prohibidas?</w:t>
      </w:r>
    </w:p>
    <w:p>
      <w:pPr>
        <w:pStyle w:val="ListBullet"/>
      </w:pPr>
      <w:r>
        <w:t>[ ] ¿La pieza respeta los 5 principios de voz Grupo Salinas?</w:t>
      </w:r>
    </w:p>
    <w:p>
      <w:pPr>
        <w:pStyle w:val="ListBullet"/>
      </w:pPr>
      <w:r>
        <w:t>[ ] ¿Si es landing, carga en menos de 2 segundos?</w:t>
      </w:r>
    </w:p>
    <w:p>
      <w:pPr>
        <w:pStyle w:val="ListBullet"/>
      </w:pPr>
      <w:r>
        <w:t>[ ] ¿Si es email/SMS, tiene opt-out claro?</w:t>
      </w:r>
    </w:p>
    <w:p>
      <w:pPr>
        <w:pStyle w:val="ListBullet"/>
      </w:pPr>
      <w:r>
        <w:t>[ ] ¿La revisión legal está documentada?</w:t>
      </w:r>
    </w:p>
    <w:p>
      <w:r>
        <w:rPr>
          <w:b/>
        </w:rPr>
        <w:t>Piezas que no pasan los 10 puntos no salen al aire.</w:t>
      </w:r>
    </w:p>
    <w:p>
      <w:pPr>
        <w:pBdr>
          <w:bottom w:val="single" w:sz="6" w:space="1" w:color="B0B6C2"/>
        </w:pBdr>
      </w:pPr>
    </w:p>
    <w:p>
      <w:r>
        <w:rPr>
          <w:i/>
        </w:rPr>
        <w:t>Playbook actualizado cada 6 meses. Responsable: Dirección de Marketing Corporativa Grupo Salinas.</w:t>
      </w:r>
    </w:p>
    <w:p>
      <w:r>
        <w:rPr>
          <w:i/>
        </w:rPr>
        <w:t>Dudas: marketing-corporativo@gruposalinas.com.mx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