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color w:val="0B2545"/>
        </w:rPr>
        <w:t>Políticas de Gobernanza de Contratos — Grupo Salinas</w:t>
      </w:r>
    </w:p>
    <w:p>
      <w:pPr>
        <w:pStyle w:val="Heading1"/>
      </w:pPr>
      <w:r>
        <w:rPr>
          <w:color w:val="0B2545"/>
        </w:rPr>
        <w:t>Procedimiento interno para aprobación y firma de contratos con proveedores estratégicos</w:t>
      </w:r>
    </w:p>
    <w:p>
      <w:r>
        <w:rPr>
          <w:b/>
        </w:rPr>
        <w:t>Aprobado por:</w:t>
      </w:r>
      <w:r>
        <w:t xml:space="preserve"> Comité Ejecutivo + Dirección Jurídica Corporativa</w:t>
      </w:r>
    </w:p>
    <w:p>
      <w:r>
        <w:rPr>
          <w:b/>
        </w:rPr>
        <w:t>Vigencia:</w:t>
      </w:r>
      <w:r>
        <w:t xml:space="preserve"> desde marzo 2025</w:t>
      </w:r>
    </w:p>
    <w:p>
      <w:r>
        <w:rPr>
          <w:b/>
        </w:rPr>
        <w:t>Aplica a:</w:t>
      </w:r>
      <w:r>
        <w:t xml:space="preserve"> todo Director, Vicepresidente y Staff Ejecutivo involucrado en procurement y contratación</w:t>
      </w:r>
    </w:p>
    <w:p>
      <w:pPr>
        <w:pBdr>
          <w:bottom w:val="single" w:sz="6" w:space="1" w:color="B0B6C2"/>
        </w:pBdr>
      </w:pPr>
    </w:p>
    <w:p>
      <w:pPr>
        <w:pStyle w:val="Heading1"/>
      </w:pPr>
      <w:r>
        <w:rPr>
          <w:color w:val="0B2545"/>
        </w:rPr>
        <w:t>1. Objetivo</w:t>
      </w:r>
    </w:p>
    <w:p>
      <w:r>
        <w:t>Establecer las reglas obligatorias, los niveles de aprobación y las señales de alerta para la firma de contratos con proveedores estratégicos del Grupo Salinas. Este documento complementa el MSA Marco y define el proceso operativo.</w:t>
      </w:r>
    </w:p>
    <w:p>
      <w:pPr>
        <w:pBdr>
          <w:bottom w:val="single" w:sz="6" w:space="1" w:color="B0B6C2"/>
        </w:pBdr>
      </w:pPr>
    </w:p>
    <w:p>
      <w:pPr>
        <w:pStyle w:val="Heading1"/>
      </w:pPr>
      <w:r>
        <w:rPr>
          <w:color w:val="0B2545"/>
        </w:rPr>
        <w:t>2. Banderas rojas que prohíben firmar (rechazo automático)</w:t>
      </w:r>
    </w:p>
    <w:p>
      <w:r>
        <w:t xml:space="preserve">Ningún Director Jurídico puede autorizar firma si el contrato contiene alguna de las siguientes cláusulas. Se considera </w:t>
      </w:r>
      <w:r>
        <w:rPr>
          <w:b/>
        </w:rPr>
        <w:t>rechazo automático sin excepción</w:t>
      </w:r>
      <w:r>
        <w:t>:</w:t>
      </w:r>
    </w:p>
    <w:p>
      <w:pPr>
        <w:pStyle w:val="Heading2"/>
      </w:pPr>
      <w:r>
        <w:rPr>
          <w:color w:val="0B2545"/>
        </w:rPr>
        <w:t>2.1 Jurisdicción fuera de México</w:t>
      </w:r>
    </w:p>
    <w:p>
      <w:r>
        <w:t>Cualquier cláusula que someta el contrato a jurisdicción o leyes distintas a las mexicanas (excepto aprobación específica del CEO documentada por escrito antes de la firma).</w:t>
      </w:r>
    </w:p>
    <w:p>
      <w:pPr>
        <w:pStyle w:val="Heading2"/>
      </w:pPr>
      <w:r>
        <w:rPr>
          <w:color w:val="0B2545"/>
        </w:rPr>
        <w:t>2.2 Límite de responsabilidad reducido</w:t>
      </w:r>
    </w:p>
    <w:p>
      <w:r>
        <w:t xml:space="preserve">Cualquier cláusula que limite la responsabilidad del proveedor a menos del </w:t>
      </w:r>
      <w:r>
        <w:rPr>
          <w:b/>
        </w:rPr>
        <w:t>100% del monto anual del contrato</w:t>
      </w:r>
      <w:r>
        <w:t>.</w:t>
      </w:r>
    </w:p>
    <w:p>
      <w:pPr>
        <w:pStyle w:val="Heading2"/>
      </w:pPr>
      <w:r>
        <w:rPr>
          <w:color w:val="0B2545"/>
        </w:rPr>
        <w:t>2.3 Renuncia al derecho de auditoría</w:t>
      </w:r>
    </w:p>
    <w:p>
      <w:r>
        <w:t>Cualquier cláusula que elimine, restrinja o sustituya el derecho de Grupo Salinas a auditar instalaciones del proveedor.</w:t>
      </w:r>
    </w:p>
    <w:p>
      <w:pPr>
        <w:pStyle w:val="Heading2"/>
      </w:pPr>
      <w:r>
        <w:rPr>
          <w:color w:val="0B2545"/>
        </w:rPr>
        <w:t>2.4 Propiedad intelectual conjunta o licencia al proveedor</w:t>
      </w:r>
    </w:p>
    <w:p>
      <w:r>
        <w:t>Cualquier cláusula que permita al proveedor reutilizar, licenciar o ceder desarrollos hechos a medida para Grupo Salinas.</w:t>
      </w:r>
    </w:p>
    <w:p>
      <w:pPr>
        <w:pStyle w:val="Heading2"/>
      </w:pPr>
      <w:r>
        <w:rPr>
          <w:color w:val="0B2545"/>
        </w:rPr>
        <w:t>2.5 Exclusividad o no competencia para el CLIENTE</w:t>
      </w:r>
    </w:p>
    <w:p>
      <w:r>
        <w:t>Cualquier cláusula que restrinja la capacidad de Grupo Salinas de contratar competidores del proveedor, durante o después de la vigencia del contrato.</w:t>
      </w:r>
    </w:p>
    <w:p>
      <w:pPr>
        <w:pStyle w:val="Heading2"/>
      </w:pPr>
      <w:r>
        <w:rPr>
          <w:color w:val="0B2545"/>
        </w:rPr>
        <w:t>2.6 Renovación automática por más de 1 año</w:t>
      </w:r>
    </w:p>
    <w:p>
      <w:r>
        <w:t>Cualquier renovación automática por períodos de 2 años o más, o cuyo plazo de notificación para no renovar exceda los 90 días.</w:t>
      </w:r>
    </w:p>
    <w:p>
      <w:pPr>
        <w:pStyle w:val="Heading2"/>
      </w:pPr>
      <w:r>
        <w:rPr>
          <w:color w:val="0B2545"/>
        </w:rPr>
        <w:t>2.7 Penalizaciones suavizadas o eliminadas</w:t>
      </w:r>
    </w:p>
    <w:p>
      <w:r>
        <w:t>Cualquier reemplazo de cláusulas de penalización cuantificable por "esfuerzo razonable", "mejores prácticas" o "revisión trimestral".</w:t>
      </w:r>
    </w:p>
    <w:p>
      <w:pPr>
        <w:pBdr>
          <w:bottom w:val="single" w:sz="6" w:space="1" w:color="B0B6C2"/>
        </w:pBdr>
      </w:pPr>
    </w:p>
    <w:p>
      <w:pPr>
        <w:pStyle w:val="Heading1"/>
      </w:pPr>
      <w:r>
        <w:rPr>
          <w:color w:val="0B2545"/>
        </w:rPr>
        <w:t>3. Banderas amarillas que requieren escalamiento</w:t>
      </w:r>
    </w:p>
    <w:p>
      <w:r>
        <w:t>Las siguientes cláusulas no son rechazo automático pero requieren escalamiento obligatorio a Comité Ejecutivo:</w:t>
      </w:r>
    </w:p>
    <w:p>
      <w:pPr>
        <w:pStyle w:val="Heading2"/>
      </w:pPr>
      <w:r>
        <w:rPr>
          <w:color w:val="0B2545"/>
        </w:rPr>
        <w:t>3.1 Plazos de pago menores a 45 días</w:t>
      </w:r>
    </w:p>
    <w:p>
      <w:r>
        <w:t>Cualquier plazo de pago de facturas inferior a 45 días requiere aprobación de Tesorería Corporativa.</w:t>
      </w:r>
    </w:p>
    <w:p>
      <w:pPr>
        <w:pStyle w:val="Heading2"/>
      </w:pPr>
      <w:r>
        <w:rPr>
          <w:color w:val="0B2545"/>
        </w:rPr>
        <w:t>3.2 Incremento anual con fórmula abierta</w:t>
      </w:r>
    </w:p>
    <w:p>
      <w:r>
        <w:t>Cualquier incremento anual que use fórmula abierta (ej. "INPC + X%", "inflación + Y%") sin tope máximo explícito requiere validación de Finanzas Corporativas.</w:t>
      </w:r>
    </w:p>
    <w:p>
      <w:pPr>
        <w:pStyle w:val="Heading2"/>
      </w:pPr>
      <w:r>
        <w:rPr>
          <w:color w:val="0B2545"/>
        </w:rPr>
        <w:t>3.3 SLA de respuesta mayor a 4 horas</w:t>
      </w:r>
    </w:p>
    <w:p>
      <w:r>
        <w:t>Cualquier SLA de respuesta a incidentes críticos mayor a 4 horas requiere validación de Tecnología Corporativa.</w:t>
      </w:r>
    </w:p>
    <w:p>
      <w:pPr>
        <w:pStyle w:val="Heading2"/>
      </w:pPr>
      <w:r>
        <w:rPr>
          <w:color w:val="0B2545"/>
        </w:rPr>
        <w:t>3.4 Notificación de vulneración de datos mayor a 24 horas</w:t>
      </w:r>
    </w:p>
    <w:p>
      <w:r>
        <w:t>Cualquier plazo de notificación de vulneración de datos superior a 24 horas requiere validación de Compliance.</w:t>
      </w:r>
    </w:p>
    <w:p>
      <w:pPr>
        <w:pStyle w:val="Heading2"/>
      </w:pPr>
      <w:r>
        <w:rPr>
          <w:color w:val="0B2545"/>
        </w:rPr>
        <w:t>3.5 Cambio de jurisdicción societaria del proveedor</w:t>
      </w:r>
    </w:p>
    <w:p>
      <w:r>
        <w:t>Si el proveedor cambia su jurisdicción de constitución entre la versión autorizada y la versión final, requiere análisis adicional de ejecutabilidad.</w:t>
      </w:r>
    </w:p>
    <w:p>
      <w:pPr>
        <w:pStyle w:val="Heading2"/>
      </w:pPr>
      <w:r>
        <w:rPr>
          <w:color w:val="0B2545"/>
        </w:rPr>
        <w:t>3.6 Subcontratación libre</w:t>
      </w:r>
    </w:p>
    <w:p>
      <w:r>
        <w:t>Cláusulas que permitan subcontratación sin consentimiento previo requieren análisis de riesgo de Compliance.</w:t>
      </w:r>
    </w:p>
    <w:p>
      <w:pPr>
        <w:pBdr>
          <w:bottom w:val="single" w:sz="6" w:space="1" w:color="B0B6C2"/>
        </w:pBdr>
      </w:pPr>
    </w:p>
    <w:p>
      <w:pPr>
        <w:pStyle w:val="Heading1"/>
      </w:pPr>
      <w:r>
        <w:rPr>
          <w:color w:val="0B2545"/>
        </w:rPr>
        <w:t>4. Proceso de aprobación según monto anual del contrato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Monto anual (USD)</w:t>
            </w:r>
          </w:p>
        </w:tc>
        <w:tc>
          <w:tcPr>
            <w:tcW w:type="dxa" w:w="4873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Aprobaciones requeridas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&lt; 100,000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Director Jurídico de unidad de negocio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100,000 a 500,000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+ Director Jurídico Corporativo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500,000 a 2,000,000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+ Dirección Jurídica Corporativa + CFO Corporativo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2,000,000 a 10,000,000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+ Dirección Jurídica Corporativa + CFO + CEO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&gt; 10,000,000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+ Comité Ejecutivo + sesión extraordinaria</w:t>
            </w:r>
          </w:p>
        </w:tc>
      </w:tr>
    </w:tbl>
    <w:p/>
    <w:p>
      <w:pPr>
        <w:pBdr>
          <w:bottom w:val="single" w:sz="6" w:space="1" w:color="B0B6C2"/>
        </w:pBdr>
      </w:pPr>
    </w:p>
    <w:p>
      <w:pPr>
        <w:pStyle w:val="Heading1"/>
      </w:pPr>
      <w:r>
        <w:rPr>
          <w:color w:val="0B2545"/>
        </w:rPr>
        <w:t>5. Verificación contra contrato anterior</w:t>
      </w:r>
    </w:p>
    <w:p>
      <w:r>
        <w:t>Cuando el contrato sea la evolución de una versión anteriormente autorizada (v2, v3, v4... v5), el Director Jurídico debe:</w:t>
      </w:r>
    </w:p>
    <w:p>
      <w:pPr>
        <w:pStyle w:val="ListNumber"/>
      </w:pPr>
      <w:r>
        <w:rPr>
          <w:b/>
        </w:rPr>
        <w:t>Comparar línea por línea</w:t>
      </w:r>
      <w:r>
        <w:t xml:space="preserve"> la versión más reciente contra la última versión autorizada.</w:t>
      </w:r>
    </w:p>
    <w:p>
      <w:pPr>
        <w:pStyle w:val="ListNumber"/>
      </w:pPr>
      <w:r>
        <w:rPr>
          <w:b/>
        </w:rPr>
        <w:t>Identificar cada cambio</w:t>
      </w:r>
      <w:r>
        <w:t xml:space="preserve"> con análisis de severidad (rojo / amarillo / verde).</w:t>
      </w:r>
    </w:p>
    <w:p>
      <w:pPr>
        <w:pStyle w:val="ListNumber"/>
      </w:pPr>
      <w:r>
        <w:rPr>
          <w:b/>
        </w:rPr>
        <w:t>Verificar que cada cambio sea consistente</w:t>
      </w:r>
      <w:r>
        <w:t xml:space="preserve"> con el MSA Marco y estas políticas.</w:t>
      </w:r>
    </w:p>
    <w:p>
      <w:pPr>
        <w:pStyle w:val="ListNumber"/>
      </w:pPr>
      <w:r>
        <w:rPr>
          <w:b/>
        </w:rPr>
        <w:t>Documentar</w:t>
      </w:r>
      <w:r>
        <w:t xml:space="preserve"> el análisis en memo ejecutivo para firma.</w:t>
      </w:r>
    </w:p>
    <w:p>
      <w:pPr>
        <w:pStyle w:val="ListNumber"/>
      </w:pPr>
      <w:r>
        <w:rPr>
          <w:b/>
        </w:rPr>
        <w:t>No firmar</w:t>
      </w:r>
      <w:r>
        <w:t xml:space="preserve"> si el análisis detecta 2 o más banderas rojas sin resolver.</w:t>
      </w:r>
    </w:p>
    <w:p>
      <w:r>
        <w:t>Este paso es obligatorio sin excepción, independientemente de la presión de tiempo.</w:t>
      </w:r>
    </w:p>
    <w:p>
      <w:pPr>
        <w:pBdr>
          <w:bottom w:val="single" w:sz="6" w:space="1" w:color="B0B6C2"/>
        </w:pBdr>
      </w:pPr>
    </w:p>
    <w:p>
      <w:pPr>
        <w:pStyle w:val="Heading1"/>
      </w:pPr>
      <w:r>
        <w:rPr>
          <w:color w:val="0B2545"/>
        </w:rPr>
        <w:t>6. Señales de alerta de conducta del proveedor</w:t>
      </w:r>
    </w:p>
    <w:p>
      <w:r>
        <w:t>El Director Jurídico debe estar atento a las siguientes prácticas del proveedor, que pueden indicar intento de ofuscación:</w:t>
      </w:r>
    </w:p>
    <w:p>
      <w:pPr>
        <w:pStyle w:val="Heading2"/>
      </w:pPr>
      <w:r>
        <w:rPr>
          <w:color w:val="0B2545"/>
        </w:rPr>
        <w:t>6.1 Envío de "versión final" con notas que minimizan los cambios</w:t>
      </w:r>
    </w:p>
    <w:p>
      <w:r>
        <w:t xml:space="preserve">Ejemplo: </w:t>
      </w:r>
      <w:r>
        <w:rPr>
          <w:i/>
        </w:rPr>
        <w:t>"Ajustes menores de redacción, sin cambios sustantivos"</w:t>
      </w:r>
      <w:r>
        <w:t xml:space="preserve"> cuando hay modificaciones a cláusulas críticas.</w:t>
      </w:r>
    </w:p>
    <w:p>
      <w:pPr>
        <w:pStyle w:val="Heading2"/>
      </w:pPr>
      <w:r>
        <w:rPr>
          <w:color w:val="0B2545"/>
        </w:rPr>
        <w:t>6.2 Envío fuera de horario laboral antes del fin de semana</w:t>
      </w:r>
    </w:p>
    <w:p>
      <w:r>
        <w:t>Envío de contratos extensos los viernes por la tarde con propuesta de firma el lunes siguiente.</w:t>
      </w:r>
    </w:p>
    <w:p>
      <w:pPr>
        <w:pStyle w:val="Heading2"/>
      </w:pPr>
      <w:r>
        <w:rPr>
          <w:color w:val="0B2545"/>
        </w:rPr>
        <w:t>6.3 Armonización con "template global"</w:t>
      </w:r>
    </w:p>
    <w:p>
      <w:r>
        <w:t>El argumento de que los cambios provienen de un template global o corporativo del proveedor no justifica cambios que violen el MSA.</w:t>
      </w:r>
    </w:p>
    <w:p>
      <w:pPr>
        <w:pStyle w:val="Heading2"/>
      </w:pPr>
      <w:r>
        <w:rPr>
          <w:color w:val="0B2545"/>
        </w:rPr>
        <w:t>6.4 Presión de calendario</w:t>
      </w:r>
    </w:p>
    <w:p>
      <w:r>
        <w:t>Argumentos del tipo "si no firmamos el lunes no podemos arrancar el servicio" o "el Comité de nuestro lado ya aprobó esta versión" deben tratarse con mayor escrutinio, no menor.</w:t>
      </w:r>
    </w:p>
    <w:p>
      <w:pPr>
        <w:pStyle w:val="Heading2"/>
      </w:pPr>
      <w:r>
        <w:rPr>
          <w:color w:val="0B2545"/>
        </w:rPr>
        <w:t>6.5 Cambios silenciosos en definiciones</w:t>
      </w:r>
    </w:p>
    <w:p>
      <w:r>
        <w:t>Cambios en cláusulas introductorias (partes, jurisdicción de constitución, definiciones) que alteran el marco contractual completo sin llamar la atención sobre ello.</w:t>
      </w:r>
    </w:p>
    <w:p>
      <w:pPr>
        <w:pBdr>
          <w:bottom w:val="single" w:sz="6" w:space="1" w:color="B0B6C2"/>
        </w:pBdr>
      </w:pPr>
    </w:p>
    <w:p>
      <w:pPr>
        <w:pStyle w:val="Heading1"/>
      </w:pPr>
      <w:r>
        <w:rPr>
          <w:color w:val="0B2545"/>
        </w:rPr>
        <w:t>7. Reglas especiales para proveedores tecnológicos</w:t>
      </w:r>
    </w:p>
    <w:p>
      <w:r>
        <w:t>Dado el riesgo operativo alto, todo proveedor tecnológico &gt; USD 500,000 anuales debe adicionalmente:</w:t>
      </w:r>
    </w:p>
    <w:p>
      <w:pPr>
        <w:pStyle w:val="ListNumber"/>
      </w:pPr>
      <w:r>
        <w:t>Demostrar certificación SOC 2 Tipo II o ISO 27001 vigente.</w:t>
      </w:r>
    </w:p>
    <w:p>
      <w:pPr>
        <w:pStyle w:val="ListNumber"/>
      </w:pPr>
      <w:r>
        <w:t>Proporcionar reportes trimestrales de cumplimiento.</w:t>
      </w:r>
    </w:p>
    <w:p>
      <w:pPr>
        <w:pStyle w:val="ListNumber"/>
      </w:pPr>
      <w:r>
        <w:t>Permitir auditorías de Grupo Salinas con 15 días de notificación.</w:t>
      </w:r>
    </w:p>
    <w:p>
      <w:pPr>
        <w:pStyle w:val="ListNumber"/>
      </w:pPr>
      <w:r>
        <w:t>Mantener plan de continuidad de negocio auditable.</w:t>
      </w:r>
    </w:p>
    <w:p>
      <w:pPr>
        <w:pStyle w:val="ListNumber"/>
      </w:pPr>
      <w:r>
        <w:t>Cumplir con notificación de vulneración de datos en 24 horas.</w:t>
      </w:r>
    </w:p>
    <w:p>
      <w:pPr>
        <w:pBdr>
          <w:bottom w:val="single" w:sz="6" w:space="1" w:color="B0B6C2"/>
        </w:pBdr>
      </w:pPr>
    </w:p>
    <w:p>
      <w:pPr>
        <w:pStyle w:val="Heading1"/>
      </w:pPr>
      <w:r>
        <w:rPr>
          <w:color w:val="0B2545"/>
        </w:rPr>
        <w:t>8. Consecuencias del incumplimiento</w:t>
      </w:r>
    </w:p>
    <w:p>
      <w:r>
        <w:t>El incumplimiento de estas políticas por parte de un Director Jurídico que autorice la firma de un contrato con banderas rojas sin resolver es causa de:</w:t>
      </w:r>
    </w:p>
    <w:p>
      <w:pPr>
        <w:pStyle w:val="ListNumber"/>
      </w:pPr>
      <w:r>
        <w:t>Observación formal al Director.</w:t>
      </w:r>
    </w:p>
    <w:p>
      <w:pPr>
        <w:pStyle w:val="ListNumber"/>
      </w:pPr>
      <w:r>
        <w:t>Revisión por el Comité Ético Corporativo.</w:t>
      </w:r>
    </w:p>
    <w:p>
      <w:pPr>
        <w:pStyle w:val="ListNumber"/>
      </w:pPr>
      <w:r>
        <w:t>En caso de reincidencia, separación del puesto.</w:t>
      </w:r>
    </w:p>
    <w:p>
      <w:r>
        <w:t>La velocidad de firma nunca justifica omitir el análisis completo.</w:t>
      </w:r>
    </w:p>
    <w:p>
      <w:pPr>
        <w:pBdr>
          <w:bottom w:val="single" w:sz="6" w:space="1" w:color="B0B6C2"/>
        </w:pBdr>
      </w:pPr>
    </w:p>
    <w:p>
      <w:pPr>
        <w:pStyle w:val="Heading1"/>
      </w:pPr>
      <w:r>
        <w:rPr>
          <w:color w:val="0B2545"/>
        </w:rPr>
        <w:t>ANEXO — Checklist rápido para Director Jurídico</w:t>
      </w:r>
    </w:p>
    <w:p>
      <w:r>
        <w:t>Antes de autorizar firma, responder SÍ/NO a cada pregunta. Si alguna respuesta es NO, no firmar.</w:t>
      </w:r>
    </w:p>
    <w:p>
      <w:pPr>
        <w:pStyle w:val="ListNumber"/>
      </w:pPr>
      <w:r>
        <w:t>¿La jurisdicción es México / tribunales CDMX?</w:t>
      </w:r>
    </w:p>
    <w:p>
      <w:pPr>
        <w:pStyle w:val="ListNumber"/>
      </w:pPr>
      <w:r>
        <w:t>¿El límite de responsabilidad es ≥ 100% del contrato anual?</w:t>
      </w:r>
    </w:p>
    <w:p>
      <w:pPr>
        <w:pStyle w:val="ListNumber"/>
      </w:pPr>
      <w:r>
        <w:t>¿Se preserva el derecho de auditoría sin restricciones?</w:t>
      </w:r>
    </w:p>
    <w:p>
      <w:pPr>
        <w:pStyle w:val="ListNumber"/>
      </w:pPr>
      <w:r>
        <w:t>¿La propiedad intelectual de desarrollos a medida es de Grupo Salinas?</w:t>
      </w:r>
    </w:p>
    <w:p>
      <w:pPr>
        <w:pStyle w:val="ListNumber"/>
      </w:pPr>
      <w:r>
        <w:t>¿NO existe cláusula de exclusividad que restrinja al CLIENTE?</w:t>
      </w:r>
    </w:p>
    <w:p>
      <w:pPr>
        <w:pStyle w:val="ListNumber"/>
      </w:pPr>
      <w:r>
        <w:t>¿La renovación es por mutuo acuerdo y no automática prolongada?</w:t>
      </w:r>
    </w:p>
    <w:p>
      <w:pPr>
        <w:pStyle w:val="ListNumber"/>
      </w:pPr>
      <w:r>
        <w:t>¿Hay penalizaciones cuantificables por incumplimiento de SLA?</w:t>
      </w:r>
    </w:p>
    <w:p>
      <w:pPr>
        <w:pStyle w:val="ListNumber"/>
      </w:pPr>
      <w:r>
        <w:t>¿El plazo de notificación de vulneración de datos es ≤ 24 horas?</w:t>
      </w:r>
    </w:p>
    <w:p>
      <w:pPr>
        <w:pStyle w:val="ListNumber"/>
      </w:pPr>
      <w:r>
        <w:t>¿El plazo de pago es ≥ 45 días naturales?</w:t>
      </w:r>
    </w:p>
    <w:p>
      <w:pPr>
        <w:pStyle w:val="ListNumber"/>
      </w:pPr>
      <w:r>
        <w:t>¿Los incrementos anuales tienen tope máximo fijo (no fórmula abierta)?</w:t>
      </w:r>
    </w:p>
    <w:p>
      <w:pPr>
        <w:pStyle w:val="ListNumber"/>
      </w:pPr>
      <w:r>
        <w:t>¿Se compararon las versiones anteriores y los cambios están documentados?</w:t>
      </w:r>
    </w:p>
    <w:p>
      <w:pPr>
        <w:pStyle w:val="ListNumber"/>
      </w:pPr>
      <w:r>
        <w:t>¿El nivel de aprobación corresponde al monto del contrato?</w:t>
      </w:r>
    </w:p>
    <w:p>
      <w:pPr>
        <w:pBdr>
          <w:bottom w:val="single" w:sz="6" w:space="1" w:color="B0B6C2"/>
        </w:pBdr>
      </w:pPr>
    </w:p>
    <w:p>
      <w:r>
        <w:rPr>
          <w:b/>
        </w:rPr>
        <w:t>Política aprobada por:</w:t>
      </w:r>
    </w:p>
    <w:p>
      <w:pPr>
        <w:pStyle w:val="ListBullet"/>
      </w:pPr>
      <w:r>
        <w:t>Comité Ejecutivo Grupo Salinas</w:t>
      </w:r>
    </w:p>
    <w:p>
      <w:pPr>
        <w:pStyle w:val="ListBullet"/>
      </w:pPr>
      <w:r>
        <w:t>Dirección Jurídica Corporativa</w:t>
      </w:r>
    </w:p>
    <w:p>
      <w:pPr>
        <w:pStyle w:val="ListBullet"/>
      </w:pPr>
      <w:r>
        <w:t>Vigente desde: marzo 2025</w:t>
      </w:r>
    </w:p>
    <w:p>
      <w:pPr>
        <w:pStyle w:val="ListBullet"/>
      </w:pPr>
      <w:r>
        <w:t>Próxima revisión: marzo 2027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B2545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B2545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B2545"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