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rPr>
          <w:color w:val="0B2545"/>
        </w:rPr>
        <w:t>Master Services Agreement (MSA) Marco</w:t>
      </w:r>
    </w:p>
    <w:p>
      <w:pPr>
        <w:pStyle w:val="Heading1"/>
      </w:pPr>
      <w:r>
        <w:rPr>
          <w:color w:val="0B2545"/>
        </w:rPr>
        <w:t>Cláusulas Obligatorias para Todo Proveedor Estratégico de Grupo Salinas</w:t>
      </w:r>
    </w:p>
    <w:p>
      <w:r>
        <w:rPr>
          <w:b/>
        </w:rPr>
        <w:t>Aprobado por:</w:t>
      </w:r>
      <w:r>
        <w:t xml:space="preserve"> Dirección Jurídica Corporativa + Comité Ejecutivo</w:t>
      </w:r>
    </w:p>
    <w:p>
      <w:r>
        <w:rPr>
          <w:b/>
        </w:rPr>
        <w:t>Fecha de vigencia:</w:t>
      </w:r>
      <w:r>
        <w:t xml:space="preserve"> enero 2025</w:t>
      </w:r>
    </w:p>
    <w:p>
      <w:r>
        <w:rPr>
          <w:b/>
        </w:rPr>
        <w:t>Versión:</w:t>
      </w:r>
      <w:r>
        <w:t xml:space="preserve"> v2.3</w:t>
      </w:r>
    </w:p>
    <w:p>
      <w:r>
        <w:rPr>
          <w:b/>
        </w:rPr>
        <w:t>Aplica a:</w:t>
      </w:r>
      <w:r>
        <w:t xml:space="preserve"> todo contrato de servicios con proveedor estratégico &gt; USD 500,000 anuales o con acceso a datos personales de clientes Grupo Salinas</w:t>
      </w:r>
    </w:p>
    <w:p>
      <w:pPr>
        <w:pBdr>
          <w:bottom w:val="single" w:sz="6" w:space="1" w:color="B0B6C2"/>
        </w:pBdr>
      </w:pPr>
    </w:p>
    <w:p>
      <w:pPr>
        <w:pStyle w:val="Heading1"/>
      </w:pPr>
      <w:r>
        <w:rPr>
          <w:color w:val="0B2545"/>
        </w:rPr>
        <w:t>Propósito</w:t>
      </w:r>
    </w:p>
    <w:p>
      <w:r>
        <w:t xml:space="preserve">Este Master Services Agreement establece las </w:t>
      </w:r>
      <w:r>
        <w:rPr>
          <w:b/>
        </w:rPr>
        <w:t>cláusulas mínimas obligatorias</w:t>
      </w:r>
      <w:r>
        <w:t xml:space="preserve"> que deben estar presentes en cualquier contrato que Grupo Salinas firme con un proveedor estratégico. Ningún contrato puede firmarse sin cumplir la totalidad de estas cláusulas. El presente MSA rige como documento supletorio en caso de contradicción con el contrato específico.</w:t>
      </w:r>
    </w:p>
    <w:p>
      <w:r>
        <w:t>La Dirección Jurídica Corporativa verifica el cumplimiento de este MSA en cada contrato antes de elevar al Director General para firma.</w:t>
      </w:r>
    </w:p>
    <w:p>
      <w:pPr>
        <w:pBdr>
          <w:bottom w:val="single" w:sz="6" w:space="1" w:color="B0B6C2"/>
        </w:pBdr>
      </w:pPr>
    </w:p>
    <w:p>
      <w:pPr>
        <w:pStyle w:val="Heading1"/>
      </w:pPr>
      <w:r>
        <w:rPr>
          <w:color w:val="0B2545"/>
        </w:rPr>
        <w:t>I. JURISDICCIÓN Y LEY APLICABLE (OBLIGATORIAS)</w:t>
      </w:r>
    </w:p>
    <w:p>
      <w:pPr>
        <w:pStyle w:val="Heading2"/>
      </w:pPr>
      <w:r>
        <w:rPr>
          <w:color w:val="0B2545"/>
        </w:rPr>
        <w:t>I.1 — Ley aplicable</w:t>
      </w:r>
    </w:p>
    <w:p>
      <w:r>
        <w:t xml:space="preserve">Todo contrato con proveedor estratégico que opere servicios o resguarde datos en México debe regirse por las </w:t>
      </w:r>
      <w:r>
        <w:rPr>
          <w:b/>
        </w:rPr>
        <w:t>leyes de los Estados Unidos Mexicanos</w:t>
      </w:r>
      <w:r>
        <w:t>.</w:t>
      </w:r>
    </w:p>
    <w:p>
      <w:pPr>
        <w:pStyle w:val="Heading2"/>
      </w:pPr>
      <w:r>
        <w:rPr>
          <w:color w:val="0B2545"/>
        </w:rPr>
        <w:t>I.2 — Jurisdicción</w:t>
      </w:r>
    </w:p>
    <w:p>
      <w:r>
        <w:t xml:space="preserve">La jurisdicción obligatoria es la de los </w:t>
      </w:r>
      <w:r>
        <w:rPr>
          <w:b/>
        </w:rPr>
        <w:t>tribunales competentes de la Ciudad de México</w:t>
      </w:r>
      <w:r>
        <w:t>. No se admite sumisión a jurisdicción extranjera salvo aprobación expresa del Comité Ejecutivo documentada por escrito.</w:t>
      </w:r>
    </w:p>
    <w:p>
      <w:pPr>
        <w:pStyle w:val="Heading2"/>
      </w:pPr>
      <w:r>
        <w:rPr>
          <w:color w:val="0B2545"/>
        </w:rPr>
        <w:t>I.3 — Excepciones</w:t>
      </w:r>
    </w:p>
    <w:p>
      <w:r>
        <w:t>Cualquier propuesta de jurisdicción fuera de México debe elevarse con anticipación mínima de 30 días al Director Jurídico Corporativo y requiere aprobación del CEO.</w:t>
      </w:r>
    </w:p>
    <w:p>
      <w:pPr>
        <w:pBdr>
          <w:bottom w:val="single" w:sz="6" w:space="1" w:color="B0B6C2"/>
        </w:pBdr>
      </w:pPr>
    </w:p>
    <w:p>
      <w:pPr>
        <w:pStyle w:val="Heading1"/>
      </w:pPr>
      <w:r>
        <w:rPr>
          <w:color w:val="0B2545"/>
        </w:rPr>
        <w:t>II. RESPONSABILIDAD Y PENALIZACIONES (OBLIGATORIAS)</w:t>
      </w:r>
    </w:p>
    <w:p>
      <w:pPr>
        <w:pStyle w:val="Heading2"/>
      </w:pPr>
      <w:r>
        <w:rPr>
          <w:color w:val="0B2545"/>
        </w:rPr>
        <w:t>II.1 — Límite de responsabilidad mínimo</w:t>
      </w:r>
    </w:p>
    <w:p>
      <w:r>
        <w:t xml:space="preserve">El proveedor no podrá limitar su responsabilidad a menos del </w:t>
      </w:r>
      <w:r>
        <w:rPr>
          <w:b/>
        </w:rPr>
        <w:t>100% del monto anual del contrato</w:t>
      </w:r>
      <w:r>
        <w:t>. Límites inferiores son causa de rechazo automático del contrato por Dirección Jurídica.</w:t>
      </w:r>
    </w:p>
    <w:p>
      <w:pPr>
        <w:pStyle w:val="Heading2"/>
      </w:pPr>
      <w:r>
        <w:rPr>
          <w:color w:val="0B2545"/>
        </w:rPr>
        <w:t>II.2 — Penalizaciones por incumplimiento de SLA</w:t>
      </w:r>
    </w:p>
    <w:p>
      <w:r>
        <w:t xml:space="preserve">Todo contrato debe incluir un esquema explícito de penalizaciones económicas si el proveedor incumple niveles de servicio pactados. La cláusula de "revisión trimestral" o "esfuerzo razonable" sin penalización cuantificable </w:t>
      </w:r>
      <w:r>
        <w:rPr>
          <w:b/>
        </w:rPr>
        <w:t>no es aceptable</w:t>
      </w:r>
      <w:r>
        <w:t>.</w:t>
      </w:r>
    </w:p>
    <w:p>
      <w:pPr>
        <w:pStyle w:val="Heading2"/>
      </w:pPr>
      <w:r>
        <w:rPr>
          <w:color w:val="0B2545"/>
        </w:rPr>
        <w:t>II.3 — Derecho de rescisión sin penalización</w:t>
      </w:r>
    </w:p>
    <w:p>
      <w:r>
        <w:t>Grupo Salinas debe conservar el derecho a rescindir sin penalización a cargo en caso de incumplimiento sostenido del proveedor.</w:t>
      </w:r>
    </w:p>
    <w:p>
      <w:pPr>
        <w:pBdr>
          <w:bottom w:val="single" w:sz="6" w:space="1" w:color="B0B6C2"/>
        </w:pBdr>
      </w:pPr>
    </w:p>
    <w:p>
      <w:pPr>
        <w:pStyle w:val="Heading1"/>
      </w:pPr>
      <w:r>
        <w:rPr>
          <w:color w:val="0B2545"/>
        </w:rPr>
        <w:t>III. DERECHO DE AUDITORÍA (OBLIGATORIA)</w:t>
      </w:r>
    </w:p>
    <w:p>
      <w:pPr>
        <w:pStyle w:val="Heading2"/>
      </w:pPr>
      <w:r>
        <w:rPr>
          <w:color w:val="0B2545"/>
        </w:rPr>
        <w:t>III.1 — Auditoría de instalaciones y procesos</w:t>
      </w:r>
    </w:p>
    <w:p>
      <w:r>
        <w:t xml:space="preserve">Grupo Salinas debe conservar el </w:t>
      </w:r>
      <w:r>
        <w:rPr>
          <w:b/>
        </w:rPr>
        <w:t>derecho irrestricto a auditar</w:t>
      </w:r>
      <w:r>
        <w:t xml:space="preserve"> las instalaciones, procesos, controles y registros del proveedor durante la vigencia del contrato. Este derecho es obligatorio para:</w:t>
      </w:r>
    </w:p>
    <w:p>
      <w:pPr>
        <w:pStyle w:val="ListBullet"/>
      </w:pPr>
      <w:r>
        <w:t>Proveedores con acceso a datos personales (LFPDPPP)</w:t>
      </w:r>
    </w:p>
    <w:p>
      <w:pPr>
        <w:pStyle w:val="ListBullet"/>
      </w:pPr>
      <w:r>
        <w:t>Proveedores de infraestructura crítica (tecnología, telecomunicaciones)</w:t>
      </w:r>
    </w:p>
    <w:p>
      <w:pPr>
        <w:pStyle w:val="ListBullet"/>
      </w:pPr>
      <w:r>
        <w:t>Proveedores que operen en industrias reguladas (financiera, telecom)</w:t>
      </w:r>
    </w:p>
    <w:p>
      <w:pPr>
        <w:pStyle w:val="Heading2"/>
      </w:pPr>
      <w:r>
        <w:rPr>
          <w:color w:val="0B2545"/>
        </w:rPr>
        <w:t>III.2 — No sustituible por terceros</w:t>
      </w:r>
    </w:p>
    <w:p>
      <w:r>
        <w:t xml:space="preserve">Los reportes de auditoría de terceros (SOC 2, ISO 27001) </w:t>
      </w:r>
      <w:r>
        <w:rPr>
          <w:b/>
        </w:rPr>
        <w:t>pueden complementar</w:t>
      </w:r>
      <w:r>
        <w:t xml:space="preserve"> pero </w:t>
      </w:r>
      <w:r>
        <w:rPr>
          <w:b/>
        </w:rPr>
        <w:t>no sustituir</w:t>
      </w:r>
      <w:r>
        <w:t xml:space="preserve"> el derecho de Grupo Salinas a ejecutar auditorías propias. Cláusulas que eliminen este derecho son causa de rechazo automático.</w:t>
      </w:r>
    </w:p>
    <w:p>
      <w:pPr>
        <w:pStyle w:val="Heading2"/>
      </w:pPr>
      <w:r>
        <w:rPr>
          <w:color w:val="0B2545"/>
        </w:rPr>
        <w:t>III.3 — Notificación previa</w:t>
      </w:r>
    </w:p>
    <w:p>
      <w:r>
        <w:t xml:space="preserve">La auditoría puede ejecutarse con notificación previa de </w:t>
      </w:r>
      <w:r>
        <w:rPr>
          <w:b/>
        </w:rPr>
        <w:t>15 días naturales</w:t>
      </w:r>
      <w:r>
        <w:t>. Plazos mayores no son aceptables.</w:t>
      </w:r>
    </w:p>
    <w:p>
      <w:pPr>
        <w:pBdr>
          <w:bottom w:val="single" w:sz="6" w:space="1" w:color="B0B6C2"/>
        </w:pBdr>
      </w:pPr>
    </w:p>
    <w:p>
      <w:pPr>
        <w:pStyle w:val="Heading1"/>
      </w:pPr>
      <w:r>
        <w:rPr>
          <w:color w:val="0B2545"/>
        </w:rPr>
        <w:t>IV. PROPIEDAD INTELECTUAL (OBLIGATORIA)</w:t>
      </w:r>
    </w:p>
    <w:p>
      <w:pPr>
        <w:pStyle w:val="Heading2"/>
      </w:pPr>
      <w:r>
        <w:rPr>
          <w:color w:val="0B2545"/>
        </w:rPr>
        <w:t>IV.1 — Desarrollos a medida</w:t>
      </w:r>
    </w:p>
    <w:p>
      <w:r>
        <w:t xml:space="preserve">Todo desarrollo, software, configuración o personalización creado a medida para Grupo Salinas durante la vigencia del contrato debe ser </w:t>
      </w:r>
      <w:r>
        <w:rPr>
          <w:b/>
        </w:rPr>
        <w:t>propiedad exclusiva de Grupo Salinas</w:t>
      </w:r>
      <w:r>
        <w:t>, incluyendo código fuente, documentación técnica y obras derivadas.</w:t>
      </w:r>
    </w:p>
    <w:p>
      <w:pPr>
        <w:pStyle w:val="Heading2"/>
      </w:pPr>
      <w:r>
        <w:rPr>
          <w:color w:val="0B2545"/>
        </w:rPr>
        <w:t>IV.2 — Prohibición de reutilización</w:t>
      </w:r>
    </w:p>
    <w:p>
      <w:r>
        <w:t xml:space="preserve">El proveedor no podrá reutilizar, licenciar o ceder a terceros los desarrollos creados a medida para Grupo Salinas, aún si se retira información confidencial. Cláusulas de "propiedad conjunta" o "licencia no exclusiva para el proveedor" </w:t>
      </w:r>
      <w:r>
        <w:rPr>
          <w:b/>
        </w:rPr>
        <w:t>son causa de rechazo automático</w:t>
      </w:r>
      <w:r>
        <w:t>.</w:t>
      </w:r>
    </w:p>
    <w:p>
      <w:pPr>
        <w:pBdr>
          <w:bottom w:val="single" w:sz="6" w:space="1" w:color="B0B6C2"/>
        </w:pBdr>
      </w:pPr>
    </w:p>
    <w:p>
      <w:pPr>
        <w:pStyle w:val="Heading1"/>
      </w:pPr>
      <w:r>
        <w:rPr>
          <w:color w:val="0B2545"/>
        </w:rPr>
        <w:t>V. EXCLUSIVIDAD Y NO COMPETENCIA (OBLIGATORIAS)</w:t>
      </w:r>
    </w:p>
    <w:p>
      <w:pPr>
        <w:pStyle w:val="Heading2"/>
      </w:pPr>
      <w:r>
        <w:rPr>
          <w:color w:val="0B2545"/>
        </w:rPr>
        <w:t>V.1 — Grupo Salinas conserva libertad de contratación</w:t>
      </w:r>
    </w:p>
    <w:p>
      <w:r>
        <w:t>Grupo Salinas debe conservar la libertad absoluta de contratar servicios similares con otros proveedores durante y después de la vigencia del contrato, incluyendo competidores directos del proveedor actual.</w:t>
      </w:r>
    </w:p>
    <w:p>
      <w:pPr>
        <w:pStyle w:val="Heading2"/>
      </w:pPr>
      <w:r>
        <w:rPr>
          <w:color w:val="0B2545"/>
        </w:rPr>
        <w:t>V.2 — Prohibición de cláusulas de exclusividad</w:t>
      </w:r>
    </w:p>
    <w:p>
      <w:r>
        <w:t xml:space="preserve">Cláusulas que restrinjan la capacidad de Grupo Salinas de contratar competidores del proveedor — durante o después de la vigencia del contrato — </w:t>
      </w:r>
      <w:r>
        <w:rPr>
          <w:b/>
        </w:rPr>
        <w:t>son causa de rechazo automático</w:t>
      </w:r>
      <w:r>
        <w:t>. Esto incluye cláusulas llamadas de "exclusividad", "no competencia para el cliente", "restricción de contratación" u otros nombres.</w:t>
      </w:r>
    </w:p>
    <w:p>
      <w:pPr>
        <w:pStyle w:val="Heading2"/>
      </w:pPr>
      <w:r>
        <w:rPr>
          <w:color w:val="0B2545"/>
        </w:rPr>
        <w:t>V.3 — Excepciones</w:t>
      </w:r>
    </w:p>
    <w:p>
      <w:r>
        <w:t>No hay excepciones a esta regla salvo aprobación escrita del CEO y del Director Jurídico Corporativo.</w:t>
      </w:r>
    </w:p>
    <w:p>
      <w:pPr>
        <w:pBdr>
          <w:bottom w:val="single" w:sz="6" w:space="1" w:color="B0B6C2"/>
        </w:pBdr>
      </w:pPr>
    </w:p>
    <w:p>
      <w:pPr>
        <w:pStyle w:val="Heading1"/>
      </w:pPr>
      <w:r>
        <w:rPr>
          <w:color w:val="0B2545"/>
        </w:rPr>
        <w:t>VI. PROTECCIÓN DE DATOS (OBLIGATORIA)</w:t>
      </w:r>
    </w:p>
    <w:p>
      <w:pPr>
        <w:pStyle w:val="Heading2"/>
      </w:pPr>
      <w:r>
        <w:rPr>
          <w:color w:val="0B2545"/>
        </w:rPr>
        <w:t>VI.1 — Cumplimiento LFPDPPP</w:t>
      </w:r>
    </w:p>
    <w:p>
      <w:r>
        <w:t>El proveedor debe cumplir estrictamente con la LFPDPPP y su reglamento.</w:t>
      </w:r>
    </w:p>
    <w:p>
      <w:pPr>
        <w:pStyle w:val="Heading2"/>
      </w:pPr>
      <w:r>
        <w:rPr>
          <w:color w:val="0B2545"/>
        </w:rPr>
        <w:t>VI.2 — Notificación de vulneración de datos</w:t>
      </w:r>
    </w:p>
    <w:p>
      <w:r>
        <w:t xml:space="preserve">El proveedor debe notificar cualquier vulneración de datos a Grupo Salinas dentro de las </w:t>
      </w:r>
      <w:r>
        <w:rPr>
          <w:b/>
        </w:rPr>
        <w:t>24 (veinticuatro) horas</w:t>
      </w:r>
      <w:r>
        <w:t xml:space="preserve"> siguientes a la detección del incidente. Plazos mayores son causa de rechazo.</w:t>
      </w:r>
    </w:p>
    <w:p>
      <w:pPr>
        <w:pStyle w:val="Heading2"/>
      </w:pPr>
      <w:r>
        <w:rPr>
          <w:color w:val="0B2545"/>
        </w:rPr>
        <w:t>VI.3 — Retención y destrucción</w:t>
      </w:r>
    </w:p>
    <w:p>
      <w:r>
        <w:t>El proveedor debe comprometerse a destruir o devolver todos los datos personales al término del contrato dentro de un plazo máximo de 30 días naturales, con certificado de destrucción verificable.</w:t>
      </w:r>
    </w:p>
    <w:p>
      <w:pPr>
        <w:pBdr>
          <w:bottom w:val="single" w:sz="6" w:space="1" w:color="B0B6C2"/>
        </w:pBdr>
      </w:pPr>
    </w:p>
    <w:p>
      <w:pPr>
        <w:pStyle w:val="Heading1"/>
      </w:pPr>
      <w:r>
        <w:rPr>
          <w:color w:val="0B2545"/>
        </w:rPr>
        <w:t>VII. RENOVACIÓN Y VIGENCIA (OBLIGATORIAS)</w:t>
      </w:r>
    </w:p>
    <w:p>
      <w:pPr>
        <w:pStyle w:val="Heading2"/>
      </w:pPr>
      <w:r>
        <w:rPr>
          <w:color w:val="0B2545"/>
        </w:rPr>
        <w:t>VII.1 — Prohibición de renovación automática prolongada</w:t>
      </w:r>
    </w:p>
    <w:p>
      <w:r>
        <w:t xml:space="preserve">Se prohíben las cláusulas de renovación automática por períodos de </w:t>
      </w:r>
      <w:r>
        <w:rPr>
          <w:b/>
        </w:rPr>
        <w:t>más de 1 (un) año</w:t>
      </w:r>
      <w:r>
        <w:t>. La renovación debe requerir decisión positiva y escrita de Grupo Salinas.</w:t>
      </w:r>
    </w:p>
    <w:p>
      <w:pPr>
        <w:pStyle w:val="Heading2"/>
      </w:pPr>
      <w:r>
        <w:rPr>
          <w:color w:val="0B2545"/>
        </w:rPr>
        <w:t>VII.2 — Notificación de no renovación</w:t>
      </w:r>
    </w:p>
    <w:p>
      <w:r>
        <w:t xml:space="preserve">El plazo de notificación de no renovación no puede exceder </w:t>
      </w:r>
      <w:r>
        <w:rPr>
          <w:b/>
        </w:rPr>
        <w:t>90 (noventa) días naturales</w:t>
      </w:r>
      <w:r>
        <w:t xml:space="preserve"> antes del vencimiento.</w:t>
      </w:r>
    </w:p>
    <w:p>
      <w:pPr>
        <w:pBdr>
          <w:bottom w:val="single" w:sz="6" w:space="1" w:color="B0B6C2"/>
        </w:pBdr>
      </w:pPr>
    </w:p>
    <w:p>
      <w:pPr>
        <w:pStyle w:val="Heading1"/>
      </w:pPr>
      <w:r>
        <w:rPr>
          <w:color w:val="0B2545"/>
        </w:rPr>
        <w:t>VIII. SUBCONTRATACIÓN (OBLIGATORIA)</w:t>
      </w:r>
    </w:p>
    <w:p>
      <w:pPr>
        <w:pStyle w:val="Heading2"/>
      </w:pPr>
      <w:r>
        <w:rPr>
          <w:color w:val="0B2545"/>
        </w:rPr>
        <w:t>VIII.1 — Consentimiento previo</w:t>
      </w:r>
    </w:p>
    <w:p>
      <w:r>
        <w:t xml:space="preserve">El proveedor no puede subcontratar total o parcialmente los servicios sin consentimiento previo y por escrito de Grupo Salinas. Cláusulas de "subcontratación libre a afiliadas o proveedores de su elección" </w:t>
      </w:r>
      <w:r>
        <w:rPr>
          <w:b/>
        </w:rPr>
        <w:t>son causa de rechazo automático</w:t>
      </w:r>
      <w:r>
        <w:t>.</w:t>
      </w:r>
    </w:p>
    <w:p>
      <w:pPr>
        <w:pBdr>
          <w:bottom w:val="single" w:sz="6" w:space="1" w:color="B0B6C2"/>
        </w:pBdr>
      </w:pPr>
    </w:p>
    <w:p>
      <w:pPr>
        <w:pStyle w:val="Heading1"/>
      </w:pPr>
      <w:r>
        <w:rPr>
          <w:color w:val="0B2545"/>
        </w:rPr>
        <w:t>IX. PLAZOS DE PAGO (OBLIGATORIOS)</w:t>
      </w:r>
    </w:p>
    <w:p>
      <w:pPr>
        <w:pStyle w:val="Heading2"/>
      </w:pPr>
      <w:r>
        <w:rPr>
          <w:color w:val="0B2545"/>
        </w:rPr>
        <w:t>IX.1 — Plazo mínimo</w:t>
      </w:r>
    </w:p>
    <w:p>
      <w:r>
        <w:t xml:space="preserve">El plazo de pago de facturas no puede ser menor a </w:t>
      </w:r>
      <w:r>
        <w:rPr>
          <w:b/>
        </w:rPr>
        <w:t>45 (cuarenta y cinco) días naturales</w:t>
      </w:r>
      <w:r>
        <w:t xml:space="preserve"> posteriores a la recepción de factura correcta. Plazos menores requieren aprobación de Tesorería Corporativa.</w:t>
      </w:r>
    </w:p>
    <w:p>
      <w:pPr>
        <w:pBdr>
          <w:bottom w:val="single" w:sz="6" w:space="1" w:color="B0B6C2"/>
        </w:pBdr>
      </w:pPr>
    </w:p>
    <w:p>
      <w:pPr>
        <w:pStyle w:val="Heading1"/>
      </w:pPr>
      <w:r>
        <w:rPr>
          <w:color w:val="0B2545"/>
        </w:rPr>
        <w:t>X. INCREMENTOS ANUALES (OBLIGATORIOS)</w:t>
      </w:r>
    </w:p>
    <w:p>
      <w:pPr>
        <w:pStyle w:val="Heading2"/>
      </w:pPr>
      <w:r>
        <w:rPr>
          <w:color w:val="0B2545"/>
        </w:rPr>
        <w:t>X.1 — Tope anual</w:t>
      </w:r>
    </w:p>
    <w:p>
      <w:r>
        <w:t xml:space="preserve">Los incrementos anuales de tarifas deben estar </w:t>
      </w:r>
      <w:r>
        <w:rPr>
          <w:b/>
        </w:rPr>
        <w:t>limitados a un porcentaje máximo fijo</w:t>
      </w:r>
      <w:r>
        <w:t>, no a fórmulas abiertas. No se admiten fórmulas como "INPC + X%", "inflación + X%" o similares sin un tope máximo explícito.</w:t>
      </w:r>
    </w:p>
    <w:p>
      <w:pPr>
        <w:pBdr>
          <w:bottom w:val="single" w:sz="6" w:space="1" w:color="B0B6C2"/>
        </w:pBdr>
      </w:pPr>
    </w:p>
    <w:p>
      <w:pPr>
        <w:pStyle w:val="Heading1"/>
      </w:pPr>
      <w:r>
        <w:rPr>
          <w:color w:val="0B2545"/>
        </w:rPr>
        <w:t>PROCEDIMIENTO DE VERIFICACIÓN</w:t>
      </w:r>
    </w:p>
    <w:p>
      <w:r>
        <w:t>Antes de proceder a firma, el área de Dirección Jurídica Corporativa debe:</w:t>
      </w:r>
    </w:p>
    <w:p>
      <w:pPr>
        <w:pStyle w:val="ListNumber"/>
      </w:pPr>
      <w:r>
        <w:rPr>
          <w:b/>
        </w:rPr>
        <w:t>Ejecutar checklist de cumplimiento</w:t>
      </w:r>
      <w:r>
        <w:t xml:space="preserve"> de las 10 secciones del MSA contra el contrato específico.</w:t>
      </w:r>
    </w:p>
    <w:p>
      <w:pPr>
        <w:pStyle w:val="ListNumber"/>
      </w:pPr>
      <w:r>
        <w:rPr>
          <w:b/>
        </w:rPr>
        <w:t>Documentar cualquier desviación</w:t>
      </w:r>
      <w:r>
        <w:t xml:space="preserve"> con justificación y aprobación correspondiente.</w:t>
      </w:r>
    </w:p>
    <w:p>
      <w:pPr>
        <w:pStyle w:val="ListNumber"/>
      </w:pPr>
      <w:r>
        <w:rPr>
          <w:b/>
        </w:rPr>
        <w:t>Firmar el checklist</w:t>
      </w:r>
      <w:r>
        <w:t xml:space="preserve"> y adjuntarlo al expediente de firma del contrato.</w:t>
      </w:r>
    </w:p>
    <w:p>
      <w:r>
        <w:t xml:space="preserve">Si el contrato específico tiene más de </w:t>
      </w:r>
      <w:r>
        <w:rPr>
          <w:b/>
        </w:rPr>
        <w:t>3 cláusulas en conflicto con este MSA</w:t>
      </w:r>
      <w:r>
        <w:t xml:space="preserve">, se requiere </w:t>
      </w:r>
      <w:r>
        <w:rPr>
          <w:b/>
        </w:rPr>
        <w:t>elevación al Comité Ejecutivo</w:t>
      </w:r>
      <w:r>
        <w:t xml:space="preserve"> antes de autorizar firma, sin excepción.</w:t>
      </w:r>
    </w:p>
    <w:p>
      <w:pPr>
        <w:pBdr>
          <w:bottom w:val="single" w:sz="6" w:space="1" w:color="B0B6C2"/>
        </w:pBdr>
      </w:pPr>
    </w:p>
    <w:p>
      <w:r>
        <w:rPr>
          <w:b/>
        </w:rPr>
        <w:t>Aprobado por:</w:t>
      </w:r>
    </w:p>
    <w:p>
      <w:pPr>
        <w:pStyle w:val="ListBullet"/>
      </w:pPr>
      <w:r>
        <w:t>Dirección Jurídica Corporativa Grupo Salinas</w:t>
      </w:r>
    </w:p>
    <w:p>
      <w:pPr>
        <w:pStyle w:val="ListBullet"/>
      </w:pPr>
      <w:r>
        <w:t>Comité Ejecutivo Grupo Salinas</w:t>
      </w:r>
    </w:p>
    <w:p>
      <w:pPr>
        <w:pStyle w:val="ListBullet"/>
      </w:pPr>
      <w:r>
        <w:t>Vigente desde: enero 2025</w:t>
      </w:r>
    </w:p>
    <w:p>
      <w:pPr>
        <w:pStyle w:val="ListBullet"/>
      </w:pPr>
      <w:r>
        <w:t>Próxima revisión: enero 2027</w:t>
      </w:r>
    </w:p>
    <w:sectPr w:rsidR="00FC693F" w:rsidRPr="0006063C" w:rsidSect="00034616">
      <w:pgSz w:w="12240" w:h="15840"/>
      <w:pgMar w:top="1134"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B2545"/>
      <w:sz w:val="4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B2545"/>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B2545"/>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