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Brief de Preparación — Plan 2027 Banco Azteca</w:t>
      </w:r>
    </w:p>
    <w:p>
      <w:pPr>
        <w:pStyle w:val="Heading2"/>
      </w:pPr>
      <w:r>
        <w:t>Documento interno para Dirección General Banco Azteca</w:t>
      </w:r>
    </w:p>
    <w:p/>
    <w:p>
      <w:r>
        <w:t>**Versión:** v0.4 — borrador para uso del Director General</w:t>
      </w:r>
    </w:p>
    <w:p>
      <w:r>
        <w:t>**Fecha:** mayo 2026</w:t>
      </w:r>
    </w:p>
    <w:p>
      <w:r>
        <w:t>**Preparado por:** Staff de Estrategia, Banco Azteca</w:t>
      </w:r>
    </w:p>
    <w:p>
      <w:r>
        <w:t>**Clasificación:** Confidencial — uso ejecutivo</w:t>
      </w:r>
    </w:p>
    <w:p/>
    <w:p/>
    <w:p>
      <w:pPr>
        <w:pStyle w:val="Heading2"/>
      </w:pPr>
      <w:r>
        <w:t>1. Resultados YTD 2026 (abril)</w:t>
      </w:r>
    </w:p>
    <w:p/>
    <w:p>
      <w:pPr>
        <w:pStyle w:val="Heading3"/>
      </w:pPr>
      <w:r>
        <w:t>Métricas consolidadas</w:t>
      </w:r>
    </w:p>
    <w:p/>
    <w:p>
      <w:r>
        <w:t>| Métrica | Plan 2026 | Real YTD abril | Var. vs. Plan |</w:t>
      </w:r>
    </w:p>
    <w:p>
      <w:r>
        <w:t>|---------|-----------|----------------|---------------|</w:t>
      </w:r>
    </w:p>
    <w:p>
      <w:r>
        <w:t>| Ingresos consolidados (MXN M) | 22,400 | 22,850 | +2.0% |</w:t>
      </w:r>
    </w:p>
    <w:p>
      <w:r>
        <w:t>| EBITDA (MXN M) | 5,900 | 5,830 | -1.2% |</w:t>
      </w:r>
    </w:p>
    <w:p>
      <w:r>
        <w:t>| Margen EBITDA | 26.3% | 25.5% | -0.8 pp |</w:t>
      </w:r>
    </w:p>
    <w:p>
      <w:r>
        <w:t>| Cartera total (MXN M) | 195,000 | 198,500 | +1.8% |</w:t>
      </w:r>
    </w:p>
    <w:p>
      <w:r>
        <w:t>| IMOR (Índice de Morosidad) | 4.2% | 4.8% | +0.6 pp |</w:t>
      </w:r>
    </w:p>
    <w:p>
      <w:r>
        <w:t>| Clientes activos (millones) | 19.6 | 19.8 | +1.0% |</w:t>
      </w:r>
    </w:p>
    <w:p>
      <w:r>
        <w:t>| NPS | 48 | 42 | -6 pts |</w:t>
      </w:r>
    </w:p>
    <w:p/>
    <w:p>
      <w:pPr>
        <w:pStyle w:val="Heading3"/>
      </w:pPr>
      <w:r>
        <w:t>Observaciones</w:t>
      </w:r>
    </w:p>
    <w:p/>
    <w:p>
      <w:pPr>
        <w:pStyle w:val="ListBullet"/>
      </w:pPr>
      <w:r>
        <w:t>Ingresos en línea con plan pero **EBITDA presiona** por mayor provisión (IMOR subió 60 pb).</w:t>
      </w:r>
    </w:p>
    <w:p>
      <w:pPr>
        <w:pStyle w:val="ListBullet"/>
      </w:pPr>
      <w:r>
        <w:t>NPS cayó 6 puntos vs. objetivo, concentrado en segmento **&lt;35 años**.</w:t>
      </w:r>
    </w:p>
    <w:p>
      <w:pPr>
        <w:pStyle w:val="ListBullet"/>
      </w:pPr>
      <w:r>
        <w:t>Cartera crediticia crece bien en segmentos C/D+, pero originación de **crédito digital** estancada.</w:t>
      </w:r>
    </w:p>
    <w:p/>
    <w:p/>
    <w:p>
      <w:pPr>
        <w:pStyle w:val="Heading2"/>
      </w:pPr>
      <w:r>
        <w:t>2. Las 3 apuestas en curso (aprobadas en 2026)</w:t>
      </w:r>
    </w:p>
    <w:p/>
    <w:p>
      <w:pPr>
        <w:pStyle w:val="Heading3"/>
      </w:pPr>
      <w:r>
        <w:t>Apuesta 1 — Super-App financiera</w:t>
      </w:r>
    </w:p>
    <w:p>
      <w:pPr>
        <w:pStyle w:val="ListBullet"/>
      </w:pPr>
      <w:r>
        <w:t>**Inversión autorizada:** MXN 2,800M · 24 meses (hasta Q4 2027)</w:t>
      </w:r>
    </w:p>
    <w:p>
      <w:pPr>
        <w:pStyle w:val="ListBullet"/>
      </w:pPr>
      <w:r>
        <w:t>**Estado:** Fase 1 en desarrollo · lanzamiento previsto Q4 2026 en 3 ciudades piloto</w:t>
      </w:r>
    </w:p>
    <w:p>
      <w:pPr>
        <w:pStyle w:val="ListBullet"/>
      </w:pPr>
      <w:r>
        <w:t>**Dolor actual:** retraso de 6 semanas vs. roadmap original</w:t>
      </w:r>
    </w:p>
    <w:p>
      <w:pPr>
        <w:pStyle w:val="ListBullet"/>
      </w:pPr>
      <w:r>
        <w:t>**Riesgo:** competidores digitales ya saturaron el segmento 18-34 con tarjetas sin anualidad</w:t>
      </w:r>
    </w:p>
    <w:p/>
    <w:p>
      <w:pPr>
        <w:pStyle w:val="Heading3"/>
      </w:pPr>
      <w:r>
        <w:t>Apuesta 2 — Banca-como-Servicio (BaaS)</w:t>
      </w:r>
    </w:p>
    <w:p>
      <w:pPr>
        <w:pStyle w:val="ListBullet"/>
      </w:pPr>
      <w:r>
        <w:t>**Inversión autorizada:** MXN 450M · 18 meses</w:t>
      </w:r>
    </w:p>
    <w:p>
      <w:pPr>
        <w:pStyle w:val="ListBullet"/>
      </w:pPr>
      <w:r>
        <w:t>**Estado:** 2 clientes institucionales firmados (fintechs medianas) · generando USD 8M TPV mensual</w:t>
      </w:r>
    </w:p>
    <w:p>
      <w:pPr>
        <w:pStyle w:val="ListBullet"/>
      </w:pPr>
      <w:r>
        <w:t>**Dolor actual:** pipeline comercial más lento de lo esperado</w:t>
      </w:r>
    </w:p>
    <w:p>
      <w:pPr>
        <w:pStyle w:val="ListBullet"/>
      </w:pPr>
      <w:r>
        <w:t>**Oportunidad:** un anuncio reciente de un competidor con su propio producto BaaS redefine el terreno competitivo</w:t>
      </w:r>
    </w:p>
    <w:p/>
    <w:p>
      <w:pPr>
        <w:pStyle w:val="Heading3"/>
      </w:pPr>
      <w:r>
        <w:t>Apuesta 3 — Rediseño de sucursales físicas</w:t>
      </w:r>
    </w:p>
    <w:p>
      <w:pPr>
        <w:pStyle w:val="ListBullet"/>
      </w:pPr>
      <w:r>
        <w:t>**Inversión autorizada:** MXN 680M · 36 meses</w:t>
      </w:r>
    </w:p>
    <w:p>
      <w:pPr>
        <w:pStyle w:val="ListBullet"/>
      </w:pPr>
      <w:r>
        <w:t>**Estado:** 42 sucursales remodeladas de 350 planeadas</w:t>
      </w:r>
    </w:p>
    <w:p>
      <w:pPr>
        <w:pStyle w:val="ListBullet"/>
      </w:pPr>
      <w:r>
        <w:t>**Dolor actual:** no queda claro el ROI incremental vs. el costo</w:t>
      </w:r>
    </w:p>
    <w:p/>
    <w:p/>
    <w:p>
      <w:pPr>
        <w:pStyle w:val="Heading2"/>
      </w:pPr>
      <w:r>
        <w:t>3. Competidores y movimientos recientes</w:t>
      </w:r>
    </w:p>
    <w:p/>
    <w:p>
      <w:pPr>
        <w:pStyle w:val="Heading3"/>
      </w:pPr>
      <w:r>
        <w:t>Fintechs digitales (competencia directa en &lt;35 años)</w:t>
      </w:r>
    </w:p>
    <w:p>
      <w:pPr>
        <w:pStyle w:val="ListBullet"/>
      </w:pPr>
      <w:r>
        <w:t>**Una fintech líder brasileña en México** ya superó 12 millones de clientes. Acaba de anunciar entrada a BaaS.</w:t>
      </w:r>
    </w:p>
    <w:p>
      <w:pPr>
        <w:pStyle w:val="ListBullet"/>
      </w:pPr>
      <w:r>
        <w:t>**Otra fintech de pagos** consolidó 28 millones de cuentas activas.</w:t>
      </w:r>
    </w:p>
    <w:p>
      <w:pPr>
        <w:pStyle w:val="ListBullet"/>
      </w:pPr>
      <w:r>
        <w:t>**Fintech de tarjeta digital** alcanzó 4.5 millones de tarjetahabientes.</w:t>
      </w:r>
    </w:p>
    <w:p/>
    <w:p>
      <w:pPr>
        <w:pStyle w:val="Heading3"/>
      </w:pPr>
      <w:r>
        <w:t>Bancos tradicionales</w:t>
      </w:r>
    </w:p>
    <w:p>
      <w:pPr>
        <w:pStyle w:val="ListBullet"/>
      </w:pPr>
      <w:r>
        <w:t>**BBVA México** lanzó aplicación renovada con score interno y crédito preaprobado en 3 clics.</w:t>
      </w:r>
    </w:p>
    <w:p>
      <w:pPr>
        <w:pStyle w:val="ListBullet"/>
      </w:pPr>
      <w:r>
        <w:t>**Santander México** anunció inversión fuerte en modernización de sucursales.</w:t>
      </w:r>
    </w:p>
    <w:p/>
    <w:p>
      <w:pPr>
        <w:pStyle w:val="Heading3"/>
      </w:pPr>
      <w:r>
        <w:t>Señales de mercado</w:t>
      </w:r>
    </w:p>
    <w:p>
      <w:pPr>
        <w:pStyle w:val="ListBullet"/>
      </w:pPr>
      <w:r>
        <w:t>La CNBV empieza a solicitar reportes más detallados sobre exposición a segmento C/D por morosidad creciente.</w:t>
      </w:r>
    </w:p>
    <w:p>
      <w:pPr>
        <w:pStyle w:val="ListBullet"/>
      </w:pPr>
      <w:r>
        <w:t>Ley Fintech 2024 abrió la puerta a más alianzas banco-fintech.</w:t>
      </w:r>
    </w:p>
    <w:p>
      <w:pPr>
        <w:pStyle w:val="ListBullet"/>
      </w:pPr>
      <w:r>
        <w:t>La penetración de smartphones en segmento D llegó a 54% — 10 pp más que hace 2 años.</w:t>
      </w:r>
    </w:p>
    <w:p/>
    <w:p/>
    <w:p>
      <w:pPr>
        <w:pStyle w:val="Heading2"/>
      </w:pPr>
      <w:r>
        <w:t>4. Contexto macro relevante para 2027</w:t>
      </w:r>
    </w:p>
    <w:p/>
    <w:p>
      <w:pPr>
        <w:pStyle w:val="ListBullet"/>
      </w:pPr>
      <w:r>
        <w:t>**PIB México 2026 estimado:** +1.8% a +2.1%</w:t>
      </w:r>
    </w:p>
    <w:p>
      <w:pPr>
        <w:pStyle w:val="ListBullet"/>
      </w:pPr>
      <w:r>
        <w:t>**Proyección PIB 2027:** +2.0% a +2.5% (moderado)</w:t>
      </w:r>
    </w:p>
    <w:p>
      <w:pPr>
        <w:pStyle w:val="ListBullet"/>
      </w:pPr>
      <w:r>
        <w:t>**Inflación 2026:** 4.6% · proyección 2027: 4.0%</w:t>
      </w:r>
    </w:p>
    <w:p>
      <w:pPr>
        <w:pStyle w:val="ListBullet"/>
      </w:pPr>
      <w:r>
        <w:t>**Tasa Banxico:** 9.75% actual · proyección 2027: 8.5%-9.0%</w:t>
      </w:r>
    </w:p>
    <w:p>
      <w:pPr>
        <w:pStyle w:val="ListBullet"/>
      </w:pPr>
      <w:r>
        <w:t>**Remesas 2025:** USD 66,400 M (+3.8% YoY) · **principal entrada de divisas al país**</w:t>
      </w:r>
    </w:p>
    <w:p>
      <w:pPr>
        <w:pStyle w:val="ListBullet"/>
      </w:pPr>
      <w:r>
        <w:t>**Elecciones intermedias 2027:** incertidumbre política podría afectar decisiones de consumo Q2-Q3</w:t>
      </w:r>
    </w:p>
    <w:p/>
    <w:p/>
    <w:p>
      <w:pPr>
        <w:pStyle w:val="Heading2"/>
      </w:pPr>
      <w:r>
        <w:t>5. Segmento C, D+ y D — el corazón del negocio</w:t>
      </w:r>
    </w:p>
    <w:p/>
    <w:p>
      <w:pPr>
        <w:pStyle w:val="ListBullet"/>
      </w:pPr>
      <w:r>
        <w:t>Representan **66% de los hogares mexicanos**.</w:t>
      </w:r>
    </w:p>
    <w:p>
      <w:pPr>
        <w:pStyle w:val="ListBullet"/>
      </w:pPr>
      <w:r>
        <w:t>**Ingreso promedio mensual familiar:**</w:t>
      </w:r>
    </w:p>
    <w:p>
      <w:r>
        <w:t xml:space="preserve">  - C: MXN 23,500 – 41,000</w:t>
      </w:r>
    </w:p>
    <w:p>
      <w:r>
        <w:t xml:space="preserve">  - D+: MXN 11,600 – 23,500</w:t>
      </w:r>
    </w:p>
    <w:p>
      <w:r>
        <w:t xml:space="preserve">  - D: MXN 6,800 – 11,600</w:t>
      </w:r>
    </w:p>
    <w:p>
      <w:pPr>
        <w:pStyle w:val="ListBullet"/>
      </w:pPr>
      <w:r>
        <w:t>**38% de hogares D+/D** aún usa servicios financieros informales (tandas, casas de empeño).</w:t>
      </w:r>
    </w:p>
    <w:p>
      <w:pPr>
        <w:pStyle w:val="ListBullet"/>
      </w:pPr>
      <w:r>
        <w:t>**Cross-sell promedio actual:** 1.8 productos por cliente. Objetivo 2027: 2.5 productos.</w:t>
      </w:r>
    </w:p>
    <w:p>
      <w:pPr>
        <w:pStyle w:val="ListBullet"/>
      </w:pPr>
      <w:r>
        <w:t>**Penetración en smartphones:** 71% D+, 54% D (creciendo).</w:t>
      </w:r>
    </w:p>
    <w:p/>
    <w:p/>
    <w:p>
      <w:pPr>
        <w:pStyle w:val="Heading2"/>
      </w:pPr>
      <w:r>
        <w:t>6. Los 5 temas abiertos para 2027 — candidatos a "LA apuesta"</w:t>
      </w:r>
    </w:p>
    <w:p/>
    <w:p>
      <w:r>
        <w:t>El staff de estrategia identificó 5 direcciones posibles para 2027. El Comité tiene que ayudar a priorizar. Cada una tiene tesis de inversión, riesgo y retorno distinto:</w:t>
      </w:r>
    </w:p>
    <w:p/>
    <w:p>
      <w:pPr>
        <w:pStyle w:val="Heading3"/>
      </w:pPr>
      <w:r>
        <w:t>Tema A — Acelerar la Super-App (doblar la apuesta)</w:t>
      </w:r>
    </w:p>
    <w:p>
      <w:r>
        <w:t>Inversión adicional MXN 1,500M para lanzar nacional en H1 2027 en vez de H2, y ganar la carrera de recapturación del segmento joven.</w:t>
      </w:r>
    </w:p>
    <w:p/>
    <w:p>
      <w:pPr>
        <w:pStyle w:val="Heading3"/>
      </w:pPr>
      <w:r>
        <w:t>Tema B — Expandir BaaS como motor principal</w:t>
      </w:r>
    </w:p>
    <w:p>
      <w:r>
        <w:t>Redireccionar MXN 900M adicionales para alcanzar 15 clientes institucionales y USD 150M TPV anual para fin de 2027. Reposicionar a Banco Azteca como "proveedor de rails" de la economía fintech mexicana.</w:t>
      </w:r>
    </w:p>
    <w:p/>
    <w:p>
      <w:pPr>
        <w:pStyle w:val="Heading3"/>
      </w:pPr>
      <w:r>
        <w:t>Tema C — Consolidar líder en remesas</w:t>
      </w:r>
    </w:p>
    <w:p>
      <w:r>
        <w:t>Construir el producto de remesas digital más usado de México. Inversión MXN 600M. Integración con remitentes desde EE.UU.</w:t>
      </w:r>
    </w:p>
    <w:p/>
    <w:p>
      <w:pPr>
        <w:pStyle w:val="Heading3"/>
      </w:pPr>
      <w:r>
        <w:t>Tema D — Crédito nómina digital masivo</w:t>
      </w:r>
    </w:p>
    <w:p>
      <w:r>
        <w:t>MXN 400M. Competir directo contra fintechs en nómina formal, replicando y superando su experiencia digital.</w:t>
      </w:r>
    </w:p>
    <w:p/>
    <w:p>
      <w:pPr>
        <w:pStyle w:val="Heading3"/>
      </w:pPr>
      <w:r>
        <w:t>Tema E — Consolidar sucursales vs. cerrar</w:t>
      </w:r>
    </w:p>
    <w:p>
      <w:r>
        <w:t>Decisión binaria: seguir con la remodelación completa (MXN 680M de inversión restante) o detenerla y reinvertir en digital. Impacto en 1,900 sucursales y 18,000 empleados operativos.</w:t>
      </w:r>
    </w:p>
    <w:p/>
    <w:p/>
    <w:p>
      <w:pPr>
        <w:pStyle w:val="Heading2"/>
      </w:pPr>
      <w:r>
        <w:t>7. Decisión pendiente del Comité</w:t>
      </w:r>
    </w:p>
    <w:p/>
    <w:p>
      <w:r>
        <w:t>El Comité tiene que decidir **cuál de los 5 temas** se vuelve "LA apuesta" central del plan 2027. La decisión determina:</w:t>
      </w:r>
    </w:p>
    <w:p>
      <w:pPr>
        <w:pStyle w:val="ListBullet"/>
      </w:pPr>
      <w:r>
        <w:t>Distribución del CapEx 2027 (MXN 3,200M disponibles).</w:t>
      </w:r>
    </w:p>
    <w:p>
      <w:pPr>
        <w:pStyle w:val="ListBullet"/>
      </w:pPr>
      <w:r>
        <w:t>Narrativa ante Consejo en reunión de julio 2026.</w:t>
      </w:r>
    </w:p>
    <w:p>
      <w:pPr>
        <w:pStyle w:val="ListBullet"/>
      </w:pPr>
      <w:r>
        <w:t>Prioridades de contratación y talento crítico.</w:t>
      </w:r>
    </w:p>
    <w:p>
      <w:pPr>
        <w:pStyle w:val="ListBullet"/>
      </w:pPr>
      <w:r>
        <w:t>Mensaje al mercado si sale como nota de prensa.</w:t>
      </w:r>
    </w:p>
    <w:p/>
    <w:p/>
    <w:p>
      <w:r>
        <w:rPr>
          <w:i/>
        </w:rPr>
        <w:t>Documento preparado por Staff de Estrategia — Banco Azteca</w:t>
      </w:r>
    </w:p>
    <w:p>
      <w:r>
        <w:rPr>
          <w:i/>
        </w:rPr>
        <w:t>Para uso interno del Director General · revisar antes de presentar al Comité</w:t>
      </w:r>
    </w:p>
    <w:p/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